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625" w:rsidRPr="004164BC" w:rsidRDefault="00000000">
      <w:pPr>
        <w:jc w:val="center"/>
        <w:rPr>
          <w:rFonts w:ascii="Times New Roman" w:eastAsia="Times New Roman" w:hAnsi="Times New Roman" w:cs="Times New Roman"/>
          <w:b/>
          <w:sz w:val="28"/>
          <w:szCs w:val="28"/>
        </w:rPr>
      </w:pPr>
      <w:r w:rsidRPr="004164BC">
        <w:rPr>
          <w:rFonts w:ascii="Times New Roman" w:eastAsia="Times New Roman" w:hAnsi="Times New Roman" w:cs="Times New Roman"/>
          <w:b/>
          <w:sz w:val="28"/>
          <w:szCs w:val="28"/>
        </w:rPr>
        <w:t>Analisis Sanksi Pidana dalam Kasus Pencemaran Nama Baik melalui Media Sosial berdasarkan KHUP dan UU ITE</w:t>
      </w:r>
    </w:p>
    <w:p w14:paraId="00000002" w14:textId="77777777" w:rsidR="006F1625" w:rsidRPr="004164BC" w:rsidRDefault="006F1625">
      <w:pPr>
        <w:jc w:val="center"/>
        <w:rPr>
          <w:rFonts w:ascii="Times New Roman" w:eastAsia="Times New Roman" w:hAnsi="Times New Roman" w:cs="Times New Roman"/>
          <w:b/>
          <w:sz w:val="28"/>
          <w:szCs w:val="28"/>
        </w:rPr>
      </w:pPr>
    </w:p>
    <w:p w14:paraId="00000003" w14:textId="77777777" w:rsidR="006F1625" w:rsidRPr="004164BC" w:rsidRDefault="00000000">
      <w:pPr>
        <w:ind w:left="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b/>
          <w:sz w:val="24"/>
          <w:szCs w:val="24"/>
        </w:rPr>
        <w:t>Abstrak</w:t>
      </w:r>
    </w:p>
    <w:p w14:paraId="00000004" w14:textId="77777777" w:rsidR="006F1625" w:rsidRPr="004164BC" w:rsidRDefault="00000000">
      <w:pPr>
        <w:ind w:left="720"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 xml:space="preserve"> Dalam era perkembangan media massa, media sosial menjadi platform yang signifikan. Kemajuan teknologi memicu globalisasi dalam komunikasi media dan informatika. Namun, dampak negatif juga muncul, termasuk potensi kecanduan media sosial, yang mempengaruhi interaksi sosial dan perilaku individu. Cybercrime, sebagai kejahatan melalui media sosial, menjadi isu serius, tetapi pemahaman masyarakat tentang konsekuensinya masih terbatas.</w:t>
      </w:r>
    </w:p>
    <w:p w14:paraId="00000005" w14:textId="77777777" w:rsidR="006F1625" w:rsidRPr="004164BC" w:rsidRDefault="00000000">
      <w:pPr>
        <w:ind w:left="720"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Penelitian ini menggunakan metode pendekatan kualitatif dengan kerangka kerja hukum normatif. Data diperoleh dari berbagai sumber, seperti dokumen, wawancara, dan pengamatan individu terkait.</w:t>
      </w:r>
    </w:p>
    <w:p w14:paraId="00000006" w14:textId="77777777" w:rsidR="006F1625" w:rsidRPr="004164BC" w:rsidRDefault="00000000">
      <w:pPr>
        <w:ind w:left="720"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Penanganan kejahatan dunia maya merupakan tugas yang kompleks dan melibatkan berbagai faktor, termasuk pelaku, modus operandi, korban, respons sosial, dan hukum. Hukum pidana berperan penting dalam mencegah dan mengatasi kejahatan ini. Pencemaran nama baik adalah bentuk khusus dari perbuatan melawan hukum, diatur oleh Undang-Undang No. 1 Tahun 1946 tentang Kitab Undang-Undang Hukum Pidana. Namun, Undang-Undang Informasi dan Transaksi Elektronik (UU ITE) juga mengatur pencemaran nama baik, dengan perbedaan dalam sanksi.</w:t>
      </w:r>
    </w:p>
    <w:p w14:paraId="00000007" w14:textId="77777777" w:rsidR="006F1625" w:rsidRPr="004164BC" w:rsidRDefault="006F1625">
      <w:pPr>
        <w:ind w:left="720" w:firstLine="720"/>
        <w:jc w:val="both"/>
        <w:rPr>
          <w:rFonts w:ascii="Times New Roman" w:eastAsia="Times New Roman" w:hAnsi="Times New Roman" w:cs="Times New Roman"/>
          <w:b/>
          <w:color w:val="222222"/>
          <w:sz w:val="24"/>
          <w:szCs w:val="24"/>
          <w:highlight w:val="white"/>
        </w:rPr>
      </w:pPr>
    </w:p>
    <w:p w14:paraId="00000008" w14:textId="77777777" w:rsidR="006F1625" w:rsidRPr="004164BC" w:rsidRDefault="00000000">
      <w:pPr>
        <w:ind w:left="720"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b/>
          <w:color w:val="222222"/>
          <w:sz w:val="24"/>
          <w:szCs w:val="24"/>
          <w:highlight w:val="white"/>
        </w:rPr>
        <w:t>Kata kunci</w:t>
      </w:r>
      <w:r w:rsidRPr="004164BC">
        <w:rPr>
          <w:rFonts w:ascii="Times New Roman" w:eastAsia="Times New Roman" w:hAnsi="Times New Roman" w:cs="Times New Roman"/>
          <w:color w:val="222222"/>
          <w:sz w:val="24"/>
          <w:szCs w:val="24"/>
          <w:highlight w:val="white"/>
        </w:rPr>
        <w:t>: media sosial, kecanduan media sosial, cybercrime, pencemaran nama baik, hukum pidana, Undang-Undang Informasi dan Transaksi Elektronik.</w:t>
      </w:r>
    </w:p>
    <w:p w14:paraId="00000009" w14:textId="77777777" w:rsidR="006F1625" w:rsidRPr="004164BC" w:rsidRDefault="006F1625">
      <w:pPr>
        <w:ind w:left="720" w:firstLine="720"/>
        <w:jc w:val="both"/>
        <w:rPr>
          <w:rFonts w:ascii="Times New Roman" w:eastAsia="Times New Roman" w:hAnsi="Times New Roman" w:cs="Times New Roman"/>
          <w:color w:val="222222"/>
          <w:sz w:val="24"/>
          <w:szCs w:val="24"/>
          <w:highlight w:val="white"/>
        </w:rPr>
      </w:pPr>
    </w:p>
    <w:p w14:paraId="0000000A" w14:textId="77777777" w:rsidR="006F1625" w:rsidRPr="004164BC" w:rsidRDefault="00000000">
      <w:pPr>
        <w:ind w:left="720" w:firstLine="720"/>
        <w:jc w:val="both"/>
        <w:rPr>
          <w:rFonts w:ascii="Times New Roman" w:eastAsia="Times New Roman" w:hAnsi="Times New Roman" w:cs="Times New Roman"/>
          <w:i/>
          <w:color w:val="222222"/>
          <w:sz w:val="24"/>
          <w:szCs w:val="24"/>
          <w:highlight w:val="white"/>
        </w:rPr>
      </w:pPr>
      <w:r w:rsidRPr="004164BC">
        <w:rPr>
          <w:rFonts w:ascii="Times New Roman" w:eastAsia="Times New Roman" w:hAnsi="Times New Roman" w:cs="Times New Roman"/>
          <w:i/>
          <w:color w:val="222222"/>
          <w:sz w:val="24"/>
          <w:szCs w:val="24"/>
          <w:highlight w:val="white"/>
        </w:rPr>
        <w:t>In the era of mass media development, social media has become a significant platform. Technological advances trigger globalization in media communications and informatics. However, negative impacts also arise, including the potential for social media addiction, which affects social interactions and individual behavior. Cybercrime, as crime via social media, is a serious issue, but public understanding of its consequences is still limited.</w:t>
      </w:r>
    </w:p>
    <w:p w14:paraId="0000000B" w14:textId="77777777" w:rsidR="006F1625" w:rsidRPr="004164BC" w:rsidRDefault="00000000">
      <w:pPr>
        <w:ind w:left="720" w:firstLine="720"/>
        <w:jc w:val="both"/>
        <w:rPr>
          <w:rFonts w:ascii="Times New Roman" w:eastAsia="Times New Roman" w:hAnsi="Times New Roman" w:cs="Times New Roman"/>
          <w:i/>
          <w:color w:val="222222"/>
          <w:sz w:val="24"/>
          <w:szCs w:val="24"/>
          <w:highlight w:val="white"/>
        </w:rPr>
      </w:pPr>
      <w:r w:rsidRPr="004164BC">
        <w:rPr>
          <w:rFonts w:ascii="Times New Roman" w:eastAsia="Times New Roman" w:hAnsi="Times New Roman" w:cs="Times New Roman"/>
          <w:i/>
          <w:color w:val="222222"/>
          <w:sz w:val="24"/>
          <w:szCs w:val="24"/>
          <w:highlight w:val="white"/>
        </w:rPr>
        <w:t>This research uses a qualitative approach with a normative legal framework. Data was obtained from various sources, such as documents, interviews, and observations of related individuals.</w:t>
      </w:r>
    </w:p>
    <w:p w14:paraId="0000000C" w14:textId="77777777" w:rsidR="006F1625" w:rsidRPr="004164BC" w:rsidRDefault="00000000">
      <w:pPr>
        <w:ind w:left="720" w:firstLine="720"/>
        <w:jc w:val="both"/>
        <w:rPr>
          <w:rFonts w:ascii="Times New Roman" w:eastAsia="Times New Roman" w:hAnsi="Times New Roman" w:cs="Times New Roman"/>
          <w:i/>
          <w:color w:val="222222"/>
          <w:sz w:val="24"/>
          <w:szCs w:val="24"/>
          <w:highlight w:val="white"/>
        </w:rPr>
      </w:pPr>
      <w:r w:rsidRPr="004164BC">
        <w:rPr>
          <w:rFonts w:ascii="Times New Roman" w:eastAsia="Times New Roman" w:hAnsi="Times New Roman" w:cs="Times New Roman"/>
          <w:i/>
          <w:color w:val="222222"/>
          <w:sz w:val="24"/>
          <w:szCs w:val="24"/>
          <w:highlight w:val="white"/>
        </w:rPr>
        <w:t>Addressing cybercrime is a complex task and involves various factors, including perpetrators, modus operandi, victims, social responses, and the law. Criminal law plays an important role in preventing and overcoming this crime. Defamation is a special form of unlawful act, regulated by Law No. 1 of 1946 concerning the Criminal Code. However, the Information and Electronic Transactions Law (UU ITE) also regulates defamation, with differences in sanctions.</w:t>
      </w:r>
    </w:p>
    <w:p w14:paraId="0000000D" w14:textId="77777777" w:rsidR="006F1625" w:rsidRPr="004164BC" w:rsidRDefault="006F1625">
      <w:pPr>
        <w:ind w:left="720" w:firstLine="720"/>
        <w:jc w:val="both"/>
        <w:rPr>
          <w:rFonts w:ascii="Times New Roman" w:eastAsia="Times New Roman" w:hAnsi="Times New Roman" w:cs="Times New Roman"/>
          <w:i/>
          <w:color w:val="222222"/>
          <w:sz w:val="24"/>
          <w:szCs w:val="24"/>
          <w:highlight w:val="white"/>
        </w:rPr>
      </w:pPr>
    </w:p>
    <w:p w14:paraId="0000000E" w14:textId="77777777" w:rsidR="006F1625" w:rsidRPr="004164BC" w:rsidRDefault="00000000">
      <w:pPr>
        <w:ind w:left="720" w:firstLine="720"/>
        <w:jc w:val="both"/>
        <w:rPr>
          <w:rFonts w:ascii="Times New Roman" w:eastAsia="Times New Roman" w:hAnsi="Times New Roman" w:cs="Times New Roman"/>
          <w:i/>
          <w:color w:val="222222"/>
          <w:sz w:val="24"/>
          <w:szCs w:val="24"/>
          <w:highlight w:val="white"/>
        </w:rPr>
      </w:pPr>
      <w:r w:rsidRPr="004164BC">
        <w:rPr>
          <w:rFonts w:ascii="Times New Roman" w:eastAsia="Times New Roman" w:hAnsi="Times New Roman" w:cs="Times New Roman"/>
          <w:b/>
          <w:i/>
          <w:color w:val="222222"/>
          <w:sz w:val="24"/>
          <w:szCs w:val="24"/>
          <w:highlight w:val="white"/>
        </w:rPr>
        <w:t>Keywords:</w:t>
      </w:r>
      <w:r w:rsidRPr="004164BC">
        <w:rPr>
          <w:rFonts w:ascii="Times New Roman" w:eastAsia="Times New Roman" w:hAnsi="Times New Roman" w:cs="Times New Roman"/>
          <w:i/>
          <w:color w:val="222222"/>
          <w:sz w:val="24"/>
          <w:szCs w:val="24"/>
          <w:highlight w:val="white"/>
        </w:rPr>
        <w:t xml:space="preserve"> social media, social media addiction, cybercrime, defamation, criminal law, information and electronic transactions law.</w:t>
      </w:r>
    </w:p>
    <w:p w14:paraId="0000000F" w14:textId="77777777" w:rsidR="006F1625" w:rsidRPr="004164BC" w:rsidRDefault="006F1625">
      <w:pPr>
        <w:ind w:left="720" w:firstLine="720"/>
        <w:jc w:val="both"/>
        <w:rPr>
          <w:rFonts w:ascii="Times New Roman" w:eastAsia="Times New Roman" w:hAnsi="Times New Roman" w:cs="Times New Roman"/>
          <w:i/>
          <w:color w:val="222222"/>
          <w:sz w:val="24"/>
          <w:szCs w:val="24"/>
          <w:highlight w:val="white"/>
        </w:rPr>
      </w:pPr>
    </w:p>
    <w:p w14:paraId="00000010" w14:textId="77777777" w:rsidR="006F1625" w:rsidRPr="004164BC" w:rsidRDefault="00000000">
      <w:pPr>
        <w:numPr>
          <w:ilvl w:val="0"/>
          <w:numId w:val="4"/>
        </w:numPr>
        <w:jc w:val="both"/>
        <w:rPr>
          <w:rFonts w:ascii="Times New Roman" w:eastAsia="Times New Roman" w:hAnsi="Times New Roman" w:cs="Times New Roman"/>
          <w:b/>
          <w:sz w:val="24"/>
          <w:szCs w:val="24"/>
        </w:rPr>
      </w:pPr>
      <w:r w:rsidRPr="004164BC">
        <w:rPr>
          <w:rFonts w:ascii="Times New Roman" w:eastAsia="Times New Roman" w:hAnsi="Times New Roman" w:cs="Times New Roman"/>
          <w:b/>
          <w:sz w:val="24"/>
          <w:szCs w:val="24"/>
        </w:rPr>
        <w:lastRenderedPageBreak/>
        <w:t>Pendahuluan</w:t>
      </w:r>
    </w:p>
    <w:p w14:paraId="00000011" w14:textId="1CBA27D9"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Dalam era saat ini, kemajuan media massa telah menghasilkan platform baru yang dikenal sebagai media sosial. Perkembangan teknologi telah membawa masyarakat ke arah globalisasi dalam telekomunikasi media dan informatika. Fenomena ini telah meresap begitu dalam dalam masyarakat sehingga perangkat elektronik sekarang menjadi sarana utama untuk berkomunikasi dan berbagi informasi </w:t>
      </w:r>
      <w:sdt>
        <w:sdtPr>
          <w:rPr>
            <w:rFonts w:ascii="Times New Roman" w:eastAsia="Times New Roman" w:hAnsi="Times New Roman" w:cs="Times New Roman"/>
            <w:color w:val="000000"/>
            <w:sz w:val="24"/>
            <w:szCs w:val="24"/>
          </w:rPr>
          <w:tag w:val="MENDELEY_CITATION_v3_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"/>
          <w:id w:val="-1699844121"/>
          <w:placeholder>
            <w:docPart w:val="DefaultPlaceholder_-1854013440"/>
          </w:placeholder>
        </w:sdtPr>
        <w:sdtContent>
          <w:r w:rsidR="004164BC" w:rsidRPr="004164BC">
            <w:rPr>
              <w:rFonts w:ascii="Times New Roman" w:eastAsia="Times New Roman" w:hAnsi="Times New Roman" w:cs="Times New Roman"/>
              <w:color w:val="000000"/>
              <w:sz w:val="24"/>
              <w:szCs w:val="24"/>
            </w:rPr>
            <w:t>(Adrizal, 2021)</w:t>
          </w:r>
        </w:sdtContent>
      </w:sdt>
    </w:p>
    <w:p w14:paraId="00000012" w14:textId="7D430A79"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Media sosial, atau sering disebut sebagai dunia maya, telah membawa dampak signifikan terhadap perilaku manusia dewasa ini. Interaksi sosial dan pertemanan saat ini seringkali terjadi melalui platform digital yang menggunakan internet, dengan berbagai situs jejaring sosial sebagai wadahnya. Penggunaan media sosial sebagai wadah interaksi virtual telah membuka perspektif baru di mana segala jenis interaksi mungkin terjadi melalui platform ini, termasuk potensi tindakan melanggar hukum atau kejahatan melalui media sosial </w:t>
      </w:r>
      <w:sdt>
        <w:sdtPr>
          <w:rPr>
            <w:rFonts w:ascii="Times New Roman" w:eastAsia="Times New Roman" w:hAnsi="Times New Roman" w:cs="Times New Roman"/>
            <w:color w:val="000000"/>
            <w:sz w:val="24"/>
            <w:szCs w:val="24"/>
          </w:rPr>
          <w:tag w:val="MENDELEY_CITATION_v3_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"/>
          <w:id w:val="-53937487"/>
          <w:placeholder>
            <w:docPart w:val="DefaultPlaceholder_-1854013440"/>
          </w:placeholder>
        </w:sdtPr>
        <w:sdtContent>
          <w:r w:rsidR="004164BC" w:rsidRPr="004164BC">
            <w:rPr>
              <w:rFonts w:ascii="Times New Roman" w:eastAsia="Times New Roman" w:hAnsi="Times New Roman" w:cs="Times New Roman"/>
              <w:color w:val="000000"/>
              <w:sz w:val="24"/>
              <w:szCs w:val="24"/>
            </w:rPr>
            <w:t>(Bahrul et al., 2022)</w:t>
          </w:r>
        </w:sdtContent>
      </w:sdt>
    </w:p>
    <w:p w14:paraId="00000013" w14:textId="71AADE1C"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Namun, perlu diperhatikan bahwa di balik manfaat yang banyak, terdapat juga dampak negatif yang mencolok. Salah satu dampak negatif yang nyata adalah potensi kecanduan media sosial, di mana individu menjadi kurang aktif dalam kehidupan nyata karena terlalu terpaku pada gadget dan media sosial. Selanjutnya, orang cenderung menjadi lebih egois karena lebih banyak waktu dihabiskan di internet daripada berinteraksi dengan orang lain. Dampak negatif lainnya adalah munculnya kejahatan dunia maya atau yang sering disebut sebagai Cybercrime </w:t>
      </w:r>
      <w:sdt>
        <w:sdtPr>
          <w:rPr>
            <w:rFonts w:ascii="Times New Roman" w:eastAsia="Times New Roman" w:hAnsi="Times New Roman" w:cs="Times New Roman"/>
            <w:color w:val="000000"/>
            <w:sz w:val="24"/>
            <w:szCs w:val="24"/>
          </w:rPr>
          <w:tag w:val="MENDELEY_CITATION_v3_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"/>
          <w:id w:val="-1152522910"/>
          <w:placeholder>
            <w:docPart w:val="DefaultPlaceholder_-1854013440"/>
          </w:placeholder>
        </w:sdtPr>
        <w:sdtContent>
          <w:r w:rsidR="004164BC" w:rsidRPr="004164BC">
            <w:rPr>
              <w:rFonts w:ascii="Times New Roman" w:eastAsia="Times New Roman" w:hAnsi="Times New Roman" w:cs="Times New Roman"/>
              <w:color w:val="000000"/>
              <w:sz w:val="24"/>
              <w:szCs w:val="24"/>
            </w:rPr>
            <w:t>(Oktiawan, 2021)</w:t>
          </w:r>
        </w:sdtContent>
      </w:sdt>
    </w:p>
    <w:p w14:paraId="00000014"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Cybercrime melibatkan penyalahgunaan teknologi digital dan melibatkan kejahatan yang dilakukan melalui perangkat elektronik seperti ponsel, tablet, komputer, dan sejenisnya, dengan tujuan yang melanggar hukum. Ini adalah tindakan melawan hukum yang melibatkan teknologi digital sebagai alatnya dan perangkat elektronik sebagai targetnya, dengan tujuan jahat untuk mendapatkan keuntungan atau merugikan orang lain. Tidak ada batasan siapa yang dapat terjebak dalam jaringan media sosial, dan kebebasan serta luasnya platform ini memberikan celah bagi individu untuk melakukan tindakan kriminal melalui media sosial. Sayangnya, pemahaman yang terbatas tentang aspek-aspek dan konsekuensi hukum dari transaksi melalui media sosial masih membuat banyak pengguna media sosial kurang peka terhadap dampak negatif ini (Oktiawan, 2021)</w:t>
      </w:r>
    </w:p>
    <w:p w14:paraId="00000015" w14:textId="1E439DB5"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Jenis kejahatan dalam dunia maya dapat dikelompokkan menjadi tiga kategori, yaitu berdasarkan aktivitas pelaksananya, motif dari tindakan tersebut, dan sasaran dari kejahatan tersebut. Salah satu contoh kasus kejahatan di dunia maya adalah tindak pidana pencemaran nama baik yang seringkali terjadi melalui media sosial. Kemudahan akses masyarakat ke media sosial, yang merupakan hasil dari perkembangan teknologi yang cepat, memungkinkan individu untuk lebih bebas dalam menyuarakan pendapat mereka, namun perbedaan pendapat sering menjadi pemicu utama terjadinya pencemaran nama baik di platform media sosial </w:t>
      </w:r>
      <w:sdt>
        <w:sdtPr>
          <w:rPr>
            <w:rFonts w:ascii="Times New Roman" w:eastAsia="Times New Roman" w:hAnsi="Times New Roman" w:cs="Times New Roman"/>
            <w:color w:val="000000"/>
            <w:sz w:val="24"/>
            <w:szCs w:val="24"/>
          </w:rPr>
          <w:tag w:val="MENDELEY_CITATION_v3_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"/>
          <w:id w:val="-1575350008"/>
          <w:placeholder>
            <w:docPart w:val="DefaultPlaceholder_-1854013440"/>
          </w:placeholder>
        </w:sdtPr>
        <w:sdtContent>
          <w:r w:rsidR="004164BC" w:rsidRPr="004164BC">
            <w:rPr>
              <w:rFonts w:ascii="Times New Roman" w:eastAsia="Times New Roman" w:hAnsi="Times New Roman" w:cs="Times New Roman"/>
              <w:color w:val="000000"/>
              <w:sz w:val="24"/>
              <w:szCs w:val="24"/>
            </w:rPr>
            <w:t>(Luntungan et al., 2021)</w:t>
          </w:r>
        </w:sdtContent>
      </w:sdt>
    </w:p>
    <w:p w14:paraId="00000016" w14:textId="3858A0E9"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Dalam negara yang merdeka ini, setiap individu memiliki kebebasan untuk mengeluarkan pendapat baik secara lisan maupun tertulis, sebagaimana diatur dalam Undang-undang Nomor 9 Tahun 1998 tentang Kemerdekaan Mengeluarkan Pendapat di Muka Umum. Pasal 1 ayat (1) dari undang-undang tersebut menyatakan bahwa "Setiap warga negara memiliki hak untuk menyampaikan pemikiran dengan cara lisan, tulisan, dan lainnya secara </w:t>
      </w:r>
      <w:r w:rsidRPr="004164BC">
        <w:rPr>
          <w:rFonts w:ascii="Times New Roman" w:eastAsia="Times New Roman" w:hAnsi="Times New Roman" w:cs="Times New Roman"/>
          <w:sz w:val="24"/>
          <w:szCs w:val="24"/>
        </w:rPr>
        <w:lastRenderedPageBreak/>
        <w:t xml:space="preserve">bebas dan bertanggung jawab sesuai dengan peraturan perundang-undangan" </w:t>
      </w:r>
      <w:sdt>
        <w:sdtPr>
          <w:rPr>
            <w:rFonts w:ascii="Times New Roman" w:eastAsia="Times New Roman" w:hAnsi="Times New Roman" w:cs="Times New Roman"/>
            <w:color w:val="000000"/>
            <w:sz w:val="24"/>
            <w:szCs w:val="24"/>
          </w:rPr>
          <w:tag w:val="MENDELEY_CITATION_v3_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
          <w:id w:val="655574514"/>
          <w:placeholder>
            <w:docPart w:val="DefaultPlaceholder_-1854013440"/>
          </w:placeholder>
        </w:sdtPr>
        <w:sdtContent>
          <w:r w:rsidR="004164BC" w:rsidRPr="004164BC">
            <w:rPr>
              <w:rFonts w:ascii="Times New Roman" w:eastAsia="Times New Roman" w:hAnsi="Times New Roman" w:cs="Times New Roman"/>
              <w:color w:val="000000"/>
              <w:sz w:val="24"/>
              <w:szCs w:val="24"/>
            </w:rPr>
            <w:t>(Hendrianto, 2022)</w:t>
          </w:r>
        </w:sdtContent>
      </w:sdt>
    </w:p>
    <w:p w14:paraId="00000017"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Undang-undang Nomor 36 Tahun 1999 tentang Telekomunikasi juga mengatur hak asasi manusia untuk berkomunikasi, termasuk melakukan telekomunikasi. Hak ini dianggap penting dalam negara yang merdeka (Hendrianto, 2022)</w:t>
      </w:r>
    </w:p>
    <w:p w14:paraId="00000018"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Namun, meskipun negara yang merdeka memberikan kebebasan ini, hak asasi manusia juga diatur dan dibatasi oleh undang-undang agar tidak disalahgunakan. Tindak pidana pencemaran nama baik atau penghinaan seringkali terjadi ketika seseorang atau kelompok menggunakan akun media sosial mereka untuk menyerang nama baik dan kehormatan individu lainnya, tanpa menyadari bahwa ini adalah pelanggaran hukum yang merugikan hak orang lain (Hendrianto, 2022)</w:t>
      </w:r>
    </w:p>
    <w:p w14:paraId="00000019" w14:textId="36CA34A3"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Pencemaran nama baik, yang dikenal sebagai "penghinaan" dalam Kitab Undang-undang Hukum Pidana (KUHP), adalah tindakan yang merugikan nama baik dan kehormatan seseorang. Pasal 310 KUHP menjelaskan bahwa "penghinaan adalah serangan terhadap kehormatan dan nama baik seseorang, yang seringkali membuat orang yang diserang merasa malu. Namun, perbuatan yang menyinggung kehormatan dalam ranah seksual tidak termasuk dalam kejahatan "penghinaan," tetapi masuk ke dalam kejahatan kesopanan atau kejahatan kesusilaan" </w:t>
      </w:r>
      <w:sdt>
        <w:sdtPr>
          <w:rPr>
            <w:rFonts w:ascii="Times New Roman" w:eastAsia="Times New Roman" w:hAnsi="Times New Roman" w:cs="Times New Roman"/>
            <w:color w:val="000000"/>
            <w:sz w:val="24"/>
            <w:szCs w:val="24"/>
          </w:rPr>
          <w:tag w:val="MENDELEY_CITATION_v3_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"/>
          <w:id w:val="-1051226793"/>
          <w:placeholder>
            <w:docPart w:val="DefaultPlaceholder_-1854013440"/>
          </w:placeholder>
        </w:sdtPr>
        <w:sdtContent>
          <w:r w:rsidR="004164BC" w:rsidRPr="004164BC">
            <w:rPr>
              <w:rFonts w:ascii="Times New Roman" w:eastAsia="Times New Roman" w:hAnsi="Times New Roman" w:cs="Times New Roman"/>
              <w:color w:val="000000"/>
              <w:sz w:val="24"/>
              <w:szCs w:val="24"/>
            </w:rPr>
            <w:t>(Purba, 2023)</w:t>
          </w:r>
        </w:sdtContent>
      </w:sdt>
    </w:p>
    <w:p w14:paraId="0000001A"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Leden Marpaung, dalam sebuah jurnal (Purba, 2023), mengamati dari perspektif sasaran atau objek pelanggaran ini, yang merupakan tujuan dari pasal tersebut, menyatakan bahwa "tindak pidana kehormatan" adalah istilah yang lebih tepat. Ini karena pembuat undang-undang awalnya bermaksud untuk melindungi:</w:t>
      </w:r>
    </w:p>
    <w:p w14:paraId="0000001B" w14:textId="77777777" w:rsidR="006F1625" w:rsidRPr="004164BC" w:rsidRDefault="00000000">
      <w:pPr>
        <w:numPr>
          <w:ilvl w:val="0"/>
          <w:numId w:val="1"/>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Kehormatan (eer dalam bahasa Belanda).</w:t>
      </w:r>
    </w:p>
    <w:p w14:paraId="0000001C" w14:textId="77777777" w:rsidR="006F1625" w:rsidRPr="004164BC" w:rsidRDefault="00000000">
      <w:pPr>
        <w:numPr>
          <w:ilvl w:val="0"/>
          <w:numId w:val="1"/>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Nama baik (geode naam dalam bahasa Belanda).</w:t>
      </w:r>
    </w:p>
    <w:p w14:paraId="0000001D"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Namun, jika dilihat dari perspektif perbuatan atau tindakan, istilah "tindak pidana penghinaan" juga dapat digunakan (Purba, 2023)</w:t>
      </w:r>
    </w:p>
    <w:p w14:paraId="0000001E"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Hukum pidana berperan dalam mengatur kedisiplinan melalui pengenaan sanksi konkret, yakni ketika suatu peraturan pidana disusun dan diterapkan, dan ada individu yang melanggarnya, maka melalui proses hukum pidana, orang tersebut akan dikenakan sanksi pidana. Namun, pada akhirnya, sanksi pidana atau hukuman tetap memiliki tujuan yang selaras dengan tujuan hukum pidana secara umum. Ini berarti bahwa pemberian sanksi pidana sebenarnya adalah alat untuk mencapai tujuan hukum pidana (Hendrianto, 2022)</w:t>
      </w:r>
    </w:p>
    <w:p w14:paraId="0000001F"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Meskipun pelaku tindak pidana pencemaran nama baik melalui media sosial telah diatur dalam Undang-undang Informasi dan Transaksi Elektronik, pemberian sanksi pidana kepada pelaku masih mengacu pada Undang-undang Informasi dan Transaksi Elektronik serta Kitab Undang-undang Hukum Pidana (KUHP). Hal ini dilakukan untuk memastikan bahwa tujuan yang ingin dicapai melalui pembuatan undang-undang, yaitu menjadikan semua individu setara di mata hukum, tetap terpenuhi. Dengan kata lain, Undang-undang Informasi dan Transaksi Elektronik diciptakan untuk mencegah dan mengendalikan potensi penyimpangan dalam proses Informasi dan Transaksi Elektronik. Selain itu, tujuan dari pemberian sanksi pidana mencakup pembalasan, pemulihan, peringatan, perlindungan masyarakat, rehabilitasi pelaku, penutupan, reformasi, dan reintegrasi (Hendrianto, 2022)</w:t>
      </w:r>
    </w:p>
    <w:p w14:paraId="00000020" w14:textId="77777777" w:rsidR="006F1625" w:rsidRPr="004164BC" w:rsidRDefault="006F1625">
      <w:pPr>
        <w:ind w:firstLine="720"/>
        <w:jc w:val="both"/>
        <w:rPr>
          <w:rFonts w:ascii="Times New Roman" w:eastAsia="Times New Roman" w:hAnsi="Times New Roman" w:cs="Times New Roman"/>
          <w:sz w:val="24"/>
          <w:szCs w:val="24"/>
        </w:rPr>
      </w:pPr>
    </w:p>
    <w:p w14:paraId="00000021" w14:textId="77777777" w:rsidR="006F1625" w:rsidRPr="004164BC" w:rsidRDefault="00000000">
      <w:pPr>
        <w:numPr>
          <w:ilvl w:val="0"/>
          <w:numId w:val="4"/>
        </w:numPr>
        <w:jc w:val="both"/>
        <w:rPr>
          <w:rFonts w:ascii="Times New Roman" w:eastAsia="Times New Roman" w:hAnsi="Times New Roman" w:cs="Times New Roman"/>
          <w:b/>
          <w:sz w:val="24"/>
          <w:szCs w:val="24"/>
        </w:rPr>
      </w:pPr>
      <w:r w:rsidRPr="004164BC">
        <w:rPr>
          <w:rFonts w:ascii="Times New Roman" w:eastAsia="Times New Roman" w:hAnsi="Times New Roman" w:cs="Times New Roman"/>
          <w:b/>
          <w:sz w:val="24"/>
          <w:szCs w:val="24"/>
        </w:rPr>
        <w:t>Metode</w:t>
      </w:r>
    </w:p>
    <w:p w14:paraId="00000022" w14:textId="2AD8173E"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lastRenderedPageBreak/>
        <w:t xml:space="preserve">Penelitian ini menggunakan metode pendekatan kualitatif dengan kerangka kerja hukum normatif </w:t>
      </w:r>
      <w:sdt>
        <w:sdtPr>
          <w:rPr>
            <w:rFonts w:ascii="Times New Roman" w:eastAsia="Times New Roman" w:hAnsi="Times New Roman" w:cs="Times New Roman"/>
            <w:sz w:val="24"/>
            <w:szCs w:val="24"/>
          </w:rPr>
          <w:tag w:val="MENDELEY_CITATION_v3_eyJjaXRhdGlvbklEIjoiTUVOREVMRVlfQ0lUQVRJT05fYjM4ZGJjMjUtNTA3NS00YWM1LTkzNGMtMDlhNWZlNWI5MDB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378757690"/>
          <w:placeholder>
            <w:docPart w:val="DefaultPlaceholder_-1854013440"/>
          </w:placeholder>
        </w:sdtPr>
        <w:sdtContent>
          <w:r w:rsidR="004164BC" w:rsidRPr="004164BC">
            <w:rPr>
              <w:rFonts w:ascii="Times New Roman" w:eastAsia="Times New Roman" w:hAnsi="Times New Roman" w:cs="Times New Roman"/>
            </w:rPr>
            <w:t>(Robbani &amp; Yuliana, 2022)</w:t>
          </w:r>
        </w:sdtContent>
      </w:sdt>
      <w:r w:rsidRPr="004164BC">
        <w:rPr>
          <w:rFonts w:ascii="Times New Roman" w:eastAsia="Times New Roman" w:hAnsi="Times New Roman" w:cs="Times New Roman"/>
          <w:sz w:val="24"/>
          <w:szCs w:val="24"/>
        </w:rPr>
        <w:t xml:space="preserve"> sebagai landasan utama. Data yang terhimpun bersifat deskriptif dan diperoleh dari beragam sumber, termasuk dokumen, wawancara, serta pengamatan individu yang terlibat dalam konteks penelitian</w:t>
      </w:r>
    </w:p>
    <w:p w14:paraId="00000023" w14:textId="0C2D3501"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Dengan mengadopsi pendekatan hukum normatif, tujuan studi ini adalah untuk menginvestigasi pemahaman serta mengevaluasi struktur hukum yang berlaku, prinsip-prinsip yang menjadi fondasinya, regulasi yang relevan, dan pelaksanaannya dalam konteks praktis </w:t>
      </w:r>
      <w:sdt>
        <w:sdtPr>
          <w:rPr>
            <w:rFonts w:ascii="Times New Roman" w:eastAsia="Times New Roman" w:hAnsi="Times New Roman" w:cs="Times New Roman"/>
            <w:sz w:val="24"/>
            <w:szCs w:val="24"/>
          </w:rPr>
          <w:tag w:val="MENDELEY_CITATION_v3_eyJjaXRhdGlvbklEIjoiTUVOREVMRVlfQ0lUQVRJT05fODVlNmVlMzAtNGFjMy00MWFlLTlmMTEtMDhhMDdlZjA3MTQ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01857885"/>
          <w:placeholder>
            <w:docPart w:val="DefaultPlaceholder_-1854013440"/>
          </w:placeholder>
        </w:sdtPr>
        <w:sdtContent>
          <w:r w:rsidR="004164BC" w:rsidRPr="004164BC">
            <w:rPr>
              <w:rFonts w:ascii="Times New Roman" w:eastAsia="Times New Roman" w:hAnsi="Times New Roman" w:cs="Times New Roman"/>
            </w:rPr>
            <w:t>(Putranto &amp; Harvelian, 2023)</w:t>
          </w:r>
        </w:sdtContent>
      </w:sdt>
    </w:p>
    <w:p w14:paraId="00000024" w14:textId="47EB1504"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Dalam menjalankan analisis literatur, literasi memiliki peranan yang sangat penting. Keputusan untuk fokus pada literatur diambil karena ketersediaan sumber literatur yang luas, seperti buku, artikel ilmiah, dan referensi literatur yang relevan. Pendekatan ini menitikberatkan pada pemahaman terhadap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ZDEwNzNmZWQtMmQ5My00OTMwLTljY2YtZTlmNWVjNDQzYjM2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729674152"/>
          <w:placeholder>
            <w:docPart w:val="DefaultPlaceholder_-1854013440"/>
          </w:placeholder>
        </w:sdtPr>
        <w:sdtContent>
          <w:r w:rsidR="004164BC" w:rsidRPr="004164BC">
            <w:rPr>
              <w:rFonts w:ascii="Times New Roman" w:eastAsia="Times New Roman" w:hAnsi="Times New Roman" w:cs="Times New Roman"/>
              <w:color w:val="000000"/>
              <w:sz w:val="24"/>
              <w:szCs w:val="24"/>
            </w:rPr>
            <w:t>(Lewansorna et al., 2022)</w:t>
          </w:r>
        </w:sdtContent>
      </w:sdt>
    </w:p>
    <w:p w14:paraId="00000025" w14:textId="3F4576CA"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Selama tahap penelitian, sumber referensi digolongkan menjadi dua kategori, yakni sumber primer dan sumber sekunder. Sumber primer mencakup dokumen resmi yang dikeluarkan oleh instansi pemerintah yang berwenang dan dokumentasi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NmYxY2Y0MDgtOWQ1OS00YzRhLWFhZmYtZDhiNTZjZjczMTd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106234990"/>
          <w:placeholder>
            <w:docPart w:val="DefaultPlaceholder_-1854013440"/>
          </w:placeholder>
        </w:sdtPr>
        <w:sdtContent>
          <w:r w:rsidR="004164BC" w:rsidRPr="004164BC">
            <w:rPr>
              <w:rFonts w:ascii="Times New Roman" w:eastAsia="Times New Roman" w:hAnsi="Times New Roman" w:cs="Times New Roman"/>
              <w:color w:val="000000"/>
              <w:sz w:val="24"/>
              <w:szCs w:val="24"/>
            </w:rPr>
            <w:t>(Irawan, 2020)</w:t>
          </w:r>
        </w:sdtContent>
      </w:sdt>
      <w:r w:rsidRPr="004164BC">
        <w:rPr>
          <w:rFonts w:ascii="Times New Roman" w:eastAsia="Times New Roman" w:hAnsi="Times New Roman" w:cs="Times New Roman"/>
          <w:sz w:val="24"/>
          <w:szCs w:val="24"/>
        </w:rPr>
        <w:t xml:space="preserve"> Kendati sumber sekunder mungkin tidak memiliki kekuatan hukum sekuat sumber primer, keduanya berperan saling melengkapi dalam mengumpulkan data. Pengumpulan data didominasi oleh pendekatan berbasis literatur, sementara analisis kualitatif digunakan untuk merangkum dan menyajikan temuan yang teridentifikasi (Lewansorna et al., 2022)</w:t>
      </w:r>
    </w:p>
    <w:p w14:paraId="00000026" w14:textId="77777777" w:rsidR="006F1625" w:rsidRPr="004164BC" w:rsidRDefault="006F1625">
      <w:pPr>
        <w:ind w:firstLine="720"/>
        <w:jc w:val="both"/>
        <w:rPr>
          <w:rFonts w:ascii="Times New Roman" w:eastAsia="Times New Roman" w:hAnsi="Times New Roman" w:cs="Times New Roman"/>
          <w:sz w:val="24"/>
          <w:szCs w:val="24"/>
        </w:rPr>
      </w:pPr>
    </w:p>
    <w:p w14:paraId="00000027" w14:textId="77777777" w:rsidR="006F1625" w:rsidRPr="004164BC" w:rsidRDefault="00000000">
      <w:pPr>
        <w:numPr>
          <w:ilvl w:val="0"/>
          <w:numId w:val="4"/>
        </w:numPr>
        <w:jc w:val="both"/>
        <w:rPr>
          <w:rFonts w:ascii="Times New Roman" w:eastAsia="Times New Roman" w:hAnsi="Times New Roman" w:cs="Times New Roman"/>
          <w:b/>
          <w:sz w:val="24"/>
          <w:szCs w:val="24"/>
        </w:rPr>
      </w:pPr>
      <w:r w:rsidRPr="004164BC">
        <w:rPr>
          <w:rFonts w:ascii="Times New Roman" w:eastAsia="Times New Roman" w:hAnsi="Times New Roman" w:cs="Times New Roman"/>
          <w:b/>
          <w:sz w:val="24"/>
          <w:szCs w:val="24"/>
        </w:rPr>
        <w:t>Pembahasan</w:t>
      </w:r>
    </w:p>
    <w:p w14:paraId="00000028"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b/>
          <w:sz w:val="24"/>
          <w:szCs w:val="24"/>
        </w:rPr>
        <w:t>Hasil</w:t>
      </w:r>
    </w:p>
    <w:p w14:paraId="00000029"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Penanganan kejahatan dunia maya merupakan tugas yang sangat kompleks, karena dalam konteks kejahatan ini, ada lima faktor yang berkaitan erat: pelaku kejahatan, modus operandi kejahatan, korban kejahatan, respons sosial terhadap kejahatan, dan hukum.15 Hukum adalah alat penting dalam upaya mencegah dan mengatasi kejahatan. Kejahatan sendiri merupakan fenomena yang ada di masyarakat dan tidak dapat dipisahkan dari masyarakat itu sendiri, seperti yang diungkapkan oleh Lacassagne bahwa setiap masyarakat memiliki penjahat sesuai dengan tindakannya. Oleh karena itu, keberadaan kejahatan adalah fakta yang ada, baik di masyarakat yang masih sangat sederhana (primitif) maupun di masyarakat modern, yang bisa merugikan masyarakat (Oktiawan, 2021)</w:t>
      </w:r>
    </w:p>
    <w:p w14:paraId="0000002A"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Nama baik merujuk pada penilaian positif tentang moral atau karakter seseorang menurut pandangan umum dalam suatu masyarakat tertentu, serta dalam konteks di mana perilaku tersebut terjadi (Hendrianto, 2022). Dalam pandangan orang lain, nama baik seseorang selalu diukur dari sudut pandang moral atau karakter yang baik.</w:t>
      </w:r>
    </w:p>
    <w:p w14:paraId="0000002B"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Pengaturan terkait pencemaran nama baik diatur dalam KUHP, Bab XVI yang meliputi Pasal 310 hingga 321 KUHP. R. Soesilo, dalam penjelasan Pasal 310 KUHP, membagi penghinaan menjadi enam jenis (Purba, 2023; Adrizal, 2021; Hendrianto, 2022)</w:t>
      </w:r>
    </w:p>
    <w:p w14:paraId="0000002C"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Penistaan (Pasal 310 ayat (1) KUHP)</w:t>
      </w:r>
    </w:p>
    <w:p w14:paraId="0000002D"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 xml:space="preserve">Untuk dapat dihukum berdasarkan pasal ini, penghinaan harus dilakukan dengan menuduh seseorang melakukan perbuatan tertentu dengan maksud agar tuduhan itu tersebar (diketahui oleh orang banyak). Perbuatan yang dituduhkan tidak perlu </w:t>
      </w:r>
      <w:r w:rsidRPr="004164BC">
        <w:rPr>
          <w:rFonts w:ascii="Times New Roman" w:eastAsia="Times New Roman" w:hAnsi="Times New Roman" w:cs="Times New Roman"/>
          <w:sz w:val="24"/>
          <w:szCs w:val="24"/>
        </w:rPr>
        <w:lastRenderedPageBreak/>
        <w:t>merupakan tindakan yang dapat dihukum, seperti pencurian, penggelapan, atau perbuatan serupa, melainkan bisa berupa perbuatan biasa yang memalukan.</w:t>
      </w:r>
    </w:p>
    <w:p w14:paraId="0000002E"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Penistaan Dengan Surat (Pasal 310 ayat (2) KUHP)</w:t>
      </w:r>
    </w:p>
    <w:p w14:paraId="0000002F"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Jika tuduhan tersebut disampaikan dalam bentuk tulisan (surat) atau gambar, maka tindakan ini disebut "menista dengan surat." Seseorang dapat dituntut berdasarkan pasal ini jika tuduhan atau kata-kata penghinaan disampaikan melalui surat atau gambar.</w:t>
      </w:r>
    </w:p>
    <w:p w14:paraId="00000030"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Fitnah (Pasal 311 KUHP)</w:t>
      </w:r>
    </w:p>
    <w:p w14:paraId="00000031"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Pasal 310 ayat (1) dan ayat (2) KUHP, berdasarkan penjelasan dalam Pasal 310 KUHP, tidak mencakup tindakan yang diambil untuk membela kepentingan umum atau dalam situasi terpaksa untuk membela diri. Dalam kasus ini, hakim akan mengadakan pemeriksaan untuk menentukan apakah penghinaan tersebut dilakukan oleh terdakwa karena dorongan untuk membela kepentingan umum atau diri sendiri, jika terdakwa mengajukannya (Pasal 312 KUHP)</w:t>
      </w:r>
    </w:p>
    <w:p w14:paraId="00000032"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Penghinaan Ringan (Pasal 315 KUHP)</w:t>
      </w:r>
    </w:p>
    <w:p w14:paraId="00000033"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Jenis penghinaan ini terjadi di tempat umum dan melibatkan kata-kata makian yang bersifat merendahkan. Penjelasan Pasal 315 KUHP menyebutkan bahwa jika penghinaan dilakukan dengan cara lain selain menuduh seseorang, seperti dengan menggunakan kata-kata kasar seperti "anjing kau," "babi kau," "monyet kau," "bajingan kau," dan lain sebagainya, maka perbuatan ini masuk dalam Pasal 315 KUHP dan disebut sebagai "penghinaan ringan."</w:t>
      </w:r>
    </w:p>
    <w:p w14:paraId="00000034"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Pengaduan Palsu atau Pengaduan Fitnah (Pasal 317 KUHP)</w:t>
      </w:r>
    </w:p>
    <w:p w14:paraId="00000035"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Pasal 317 KUHP mengancam hukuman bagi mereka yang sengaja: a. Mengajukan surat pengaduan palsu tentang seseorang kepada pejabat pemerintah; b. Memerintahkan atau meminta orang lain menulis surat pengaduan palsu tentang seseorang kepada pejabat pemerintah sehingga nama baik atau kehormatan orang tersebut tercemar.</w:t>
      </w:r>
    </w:p>
    <w:p w14:paraId="00000036" w14:textId="77777777" w:rsidR="006F1625" w:rsidRPr="004164BC" w:rsidRDefault="00000000">
      <w:pPr>
        <w:numPr>
          <w:ilvl w:val="0"/>
          <w:numId w:val="2"/>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Perbuatan Fitnah (Pasal 318 KUHP)</w:t>
      </w:r>
    </w:p>
    <w:p w14:paraId="00000037" w14:textId="77777777" w:rsidR="006F1625" w:rsidRPr="004164BC" w:rsidRDefault="00000000">
      <w:pPr>
        <w:ind w:left="720"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Pasal 318 KUHP mengancam hukuman bagi mereka yang sengaja melakukan tindakan yang menyebabkan orang lain secara salah dituduh dalam suatu tindak pidana. Contohnya, dengan diam-diam meletakkan barang hasil kejahatan di rumah orang lain dengan maksud agar orang itu dituduh melakukan kejahatan.</w:t>
      </w:r>
    </w:p>
    <w:p w14:paraId="00000038" w14:textId="77777777" w:rsidR="006F1625" w:rsidRPr="004164BC" w:rsidRDefault="006F1625">
      <w:pPr>
        <w:ind w:firstLine="720"/>
        <w:jc w:val="both"/>
        <w:rPr>
          <w:rFonts w:ascii="Times New Roman" w:eastAsia="Times New Roman" w:hAnsi="Times New Roman" w:cs="Times New Roman"/>
          <w:sz w:val="24"/>
          <w:szCs w:val="24"/>
        </w:rPr>
      </w:pPr>
    </w:p>
    <w:p w14:paraId="00000039" w14:textId="77777777" w:rsidR="006F1625" w:rsidRPr="004164BC" w:rsidRDefault="00000000">
      <w:pPr>
        <w:ind w:firstLine="720"/>
        <w:jc w:val="both"/>
        <w:rPr>
          <w:rFonts w:ascii="Times New Roman" w:eastAsia="Times New Roman" w:hAnsi="Times New Roman" w:cs="Times New Roman"/>
          <w:b/>
          <w:sz w:val="24"/>
          <w:szCs w:val="24"/>
        </w:rPr>
      </w:pPr>
      <w:r w:rsidRPr="004164BC">
        <w:rPr>
          <w:rFonts w:ascii="Times New Roman" w:eastAsia="Times New Roman" w:hAnsi="Times New Roman" w:cs="Times New Roman"/>
          <w:b/>
          <w:sz w:val="24"/>
          <w:szCs w:val="24"/>
        </w:rPr>
        <w:t>Pembahasan</w:t>
      </w:r>
      <w:r w:rsidRPr="004164BC">
        <w:rPr>
          <w:rFonts w:ascii="Times New Roman" w:eastAsia="Times New Roman" w:hAnsi="Times New Roman" w:cs="Times New Roman"/>
          <w:sz w:val="24"/>
          <w:szCs w:val="24"/>
        </w:rPr>
        <w:t xml:space="preserve"> :</w:t>
      </w:r>
    </w:p>
    <w:p w14:paraId="0000003A"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Tanggung jawab terkait tindak pidana pencemaran nama baik diatur oleh Undang-Undang No. 1 Tahun 1946 tentang Kitab Undang-Undang Hukum Pidana. Pencemaran nama baik merupakan salah satu bentuk khusus dari perbuatan melawan hukum. Istilah yang digunakan untuk menggambarkan bentuk perbuatan melawan hukum ini dapat disebut sebagai pencemaran nama baik atau penghinaan. Secara harfiah, penghinaan atau defamation, diartikan sebagai tindakan yang merugikan nama baik dan kehormatan seseorang. Menurut penjelasan dalam Pasal 310 KUHP, penghinaan dapat didefinisikan sebagai "menyerang kehormatan dan nama baik seseorang." Individu yang menjadi sasaran penghinaan biasanya merasa malu, dan kehormatan yang diserang hanya berkaitan dengan aspek yang dapat dicemarkan (Purba, 2023)</w:t>
      </w:r>
    </w:p>
    <w:p w14:paraId="0000003B"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lastRenderedPageBreak/>
        <w:t>Namun, perbuatan yang menyinggung kehormatan dalam konteks seksual tidak termasuk dalam kejahatan "penghinaan," melainkan masuk dalam kategori kejahatan kesopanan atau kejahatan kesusilaan. Ketentuan Pasal 310 ayat (3) KUHP menyatakan bahwa tindakan tersebut tidak akan dianggap sebagai penghinaan atau penghinaan dengan tulisan jika pembuatnya melakukannya untuk kepentingan umum atau dalam keadaan terpaksa untuk membela diri. Dalam kasus pembelaan diri, ada dua syarat yang harus dipenuhi. Pertama, harus ada serangan ilegal oleh orang lain yang merugikan hukumnya, sehingga individu tersebut terpaksa membela diri dengan cara yang menghina orang lain. Kedua, isi dari tuduhan yang dibuat harus benar, dan pembuatnya harus dapat membuktikan syarat-syarat ini (Luntungan et al., 2021)</w:t>
      </w:r>
    </w:p>
    <w:p w14:paraId="0000003C"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Sementara itu, pengaturan pencemaran nama baik dalam Undang-Undang Informasi dan Transaksi Elektronik (UU ITE) memiliki perbedaan dengan pengaturan yang terdapat dalam KUHP. Dalam UU ITE, setiap tindakan yang melanggar hukum memiliki sanksi yang tidak selalu diatur dalam pasal yang sama, berbeda dengan KUHP di mana sanksi selalu melekat pada pasal yang sama (Hendrianto, 2022)</w:t>
      </w:r>
    </w:p>
    <w:p w14:paraId="0000003D" w14:textId="77777777" w:rsidR="006F1625" w:rsidRPr="004164BC" w:rsidRDefault="00000000">
      <w:pPr>
        <w:ind w:firstLine="720"/>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UU ITE mengatur pencemaran nama baik dalam Bab VII yang mencakup Pasal 27 Ayat (3), Pasal 28 Ayat (1), dan Pasal 36. Pasal 27 Ayat (3) UU ITE menyebutkan bahwa "Setiap Orang dengan sengaja dan tanpa hak mendistribusikan dan/atau mentransmisikan dan/atau membuat dapat diaksesnya Informasi Elektronik dan/atau Dokumen Elektronik yang memiliki muatan penghinaan dan/atau pencemaran nama baik." Unsur-unsur dalam pasal ini meliputi:</w:t>
      </w:r>
    </w:p>
    <w:p w14:paraId="0000003E" w14:textId="77777777" w:rsidR="006F1625" w:rsidRPr="004164BC" w:rsidRDefault="00000000">
      <w:pPr>
        <w:numPr>
          <w:ilvl w:val="0"/>
          <w:numId w:val="3"/>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Setiap orang,</w:t>
      </w:r>
    </w:p>
    <w:p w14:paraId="0000003F" w14:textId="77777777" w:rsidR="006F1625" w:rsidRPr="004164BC" w:rsidRDefault="00000000">
      <w:pPr>
        <w:numPr>
          <w:ilvl w:val="0"/>
          <w:numId w:val="3"/>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Melakukan tindakan dengan sengaja dan tanpa hak,</w:t>
      </w:r>
    </w:p>
    <w:p w14:paraId="00000040" w14:textId="77777777" w:rsidR="006F1625" w:rsidRPr="004164BC" w:rsidRDefault="00000000">
      <w:pPr>
        <w:numPr>
          <w:ilvl w:val="0"/>
          <w:numId w:val="3"/>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Mendistribusikan, mentransmisikan, atau membuat informasi elektronik atau dokumen elektronik dapat diakses,</w:t>
      </w:r>
    </w:p>
    <w:p w14:paraId="00000041" w14:textId="77777777" w:rsidR="006F1625" w:rsidRPr="004164BC" w:rsidRDefault="00000000">
      <w:pPr>
        <w:numPr>
          <w:ilvl w:val="0"/>
          <w:numId w:val="3"/>
        </w:numPr>
        <w:jc w:val="both"/>
        <w:rPr>
          <w:rFonts w:ascii="Times New Roman" w:eastAsia="Times New Roman" w:hAnsi="Times New Roman" w:cs="Times New Roman"/>
          <w:sz w:val="24"/>
          <w:szCs w:val="24"/>
        </w:rPr>
      </w:pPr>
      <w:r w:rsidRPr="004164BC">
        <w:rPr>
          <w:rFonts w:ascii="Times New Roman" w:eastAsia="Times New Roman" w:hAnsi="Times New Roman" w:cs="Times New Roman"/>
          <w:sz w:val="24"/>
          <w:szCs w:val="24"/>
        </w:rPr>
        <w:t>Yang memiliki muatan penghinaan dan/atau pencemaran nama baik seseorang atau badan hukum. Pengertian "setiap orang" di sini diinterpretasikan sebagai individu yang merupakan subjek hukum (Adrizal, 2021)</w:t>
      </w:r>
    </w:p>
    <w:p w14:paraId="00000042" w14:textId="77777777" w:rsidR="006F1625" w:rsidRPr="004164BC" w:rsidRDefault="006F1625">
      <w:pPr>
        <w:jc w:val="both"/>
        <w:rPr>
          <w:rFonts w:ascii="Times New Roman" w:eastAsia="Times New Roman" w:hAnsi="Times New Roman" w:cs="Times New Roman"/>
          <w:sz w:val="24"/>
          <w:szCs w:val="24"/>
        </w:rPr>
      </w:pPr>
    </w:p>
    <w:p w14:paraId="00000043" w14:textId="77777777" w:rsidR="006F1625" w:rsidRPr="004164BC" w:rsidRDefault="00000000">
      <w:pPr>
        <w:numPr>
          <w:ilvl w:val="0"/>
          <w:numId w:val="4"/>
        </w:numPr>
        <w:jc w:val="both"/>
        <w:rPr>
          <w:rFonts w:ascii="Times New Roman" w:eastAsia="Times New Roman" w:hAnsi="Times New Roman" w:cs="Times New Roman"/>
          <w:b/>
          <w:sz w:val="24"/>
          <w:szCs w:val="24"/>
        </w:rPr>
      </w:pPr>
      <w:r w:rsidRPr="004164BC">
        <w:rPr>
          <w:rFonts w:ascii="Times New Roman" w:eastAsia="Times New Roman" w:hAnsi="Times New Roman" w:cs="Times New Roman"/>
          <w:b/>
          <w:sz w:val="24"/>
          <w:szCs w:val="24"/>
        </w:rPr>
        <w:t>Penutup</w:t>
      </w:r>
    </w:p>
    <w:p w14:paraId="00000044" w14:textId="77777777" w:rsidR="006F1625" w:rsidRPr="004164BC" w:rsidRDefault="00000000">
      <w:pPr>
        <w:ind w:left="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b/>
          <w:sz w:val="24"/>
          <w:szCs w:val="24"/>
        </w:rPr>
        <w:t xml:space="preserve">Kesimpulan : </w:t>
      </w:r>
    </w:p>
    <w:p w14:paraId="00000045"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Dalam era digital dan media sosial, tindakan pencemaran nama baik melalui platform online telah menjadi masalah serius yang perlu diatasi. Fenomena ini muncul sebagai akibat dari perkembangan teknologi dan globalisasi dalam telekomunikasi media dan informatika. Terlepas dari manfaat besar yang ditawarkan media sosial, seperti kemudahan berkomunikasi dan berbagi informasi, dampak negatif seperti potensi kecanduan, perubahan perilaku, dan kejahatan dunia maya juga menjadi kenyataan.</w:t>
      </w:r>
    </w:p>
    <w:p w14:paraId="00000046"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Pencemaran nama baik adalah salah satu jenis kejahatan dunia maya yang sering terjadi melalui media sosial. Dalam konteks hukum Indonesia, tindakan ini diatur oleh Undang-Undang Informasi dan Transaksi Elektronik (UU ITE) serta Kitab Undang-Undang Hukum Pidana (KUHP). Namun, penting untuk memahami bahwa kebebasan berpendapat dan berkomunikasi diatur dan dibatasi oleh undang-undang agar tidak disalahgunakan.</w:t>
      </w:r>
    </w:p>
    <w:p w14:paraId="00000047"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 xml:space="preserve">Dalam konteks hukum, pencemaran nama baik dapat didefinisikan sebagai tindakan yang merugikan nama baik dan kehormatan seseorang. KUHP membedakan beberapa jenis penghinaan, termasuk penistaan, penistaan dengan surat, fitnah, penghinaan ringan, pengaduan </w:t>
      </w:r>
      <w:r w:rsidRPr="004164BC">
        <w:rPr>
          <w:rFonts w:ascii="Times New Roman" w:eastAsia="Times New Roman" w:hAnsi="Times New Roman" w:cs="Times New Roman"/>
          <w:color w:val="222222"/>
          <w:sz w:val="24"/>
          <w:szCs w:val="24"/>
          <w:highlight w:val="white"/>
        </w:rPr>
        <w:lastRenderedPageBreak/>
        <w:t>palsu atau pengaduan fitnah, dan perbuatan fitnah. Pengaturan yang serupa juga terdapat dalam UU ITE.</w:t>
      </w:r>
    </w:p>
    <w:p w14:paraId="00000048"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Sanksi pidana yang diberikan kepada pelaku tindak pidana pencemaran nama baik melalui media sosial merujuk pada peraturan dalam UU ITE dan KUHP. Tujuan dari pemberian sanksi ini mencakup pembalasan, pemulihan, peringatan, perlindungan masyarakat, rehabilitasi pelaku, penutupan, reformasi, dan reintegrasi.</w:t>
      </w:r>
    </w:p>
    <w:p w14:paraId="00000049" w14:textId="77777777" w:rsidR="006F1625" w:rsidRPr="004164BC" w:rsidRDefault="006F1625">
      <w:pPr>
        <w:ind w:firstLine="720"/>
        <w:jc w:val="both"/>
        <w:rPr>
          <w:rFonts w:ascii="Times New Roman" w:eastAsia="Times New Roman" w:hAnsi="Times New Roman" w:cs="Times New Roman"/>
          <w:color w:val="222222"/>
          <w:sz w:val="24"/>
          <w:szCs w:val="24"/>
          <w:highlight w:val="white"/>
        </w:rPr>
      </w:pPr>
    </w:p>
    <w:p w14:paraId="0000004A"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b/>
          <w:color w:val="222222"/>
          <w:sz w:val="24"/>
          <w:szCs w:val="24"/>
          <w:highlight w:val="white"/>
        </w:rPr>
        <w:t>Saran:</w:t>
      </w:r>
    </w:p>
    <w:p w14:paraId="0000004B"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Peningkatan Kesadaran Hukum: Perlu adanya upaya untuk meningkatkan kesadaran hukum di kalangan masyarakat terutama terkait dengan konsekuensi hukum dari tindakan pencemaran nama baik di media sosial. Kampanye pendidikan hukum dan pemahaman yang lebih baik tentang hak dan kewajiban dalam berkomunikasi secara online dapat membantu mengurangi tindakan melawan hukum.</w:t>
      </w:r>
    </w:p>
    <w:p w14:paraId="0000004C"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Kolaborasi Antar Hukum: Dalam mengatasi tindak pidana pencemaran nama baik di dunia maya, kolaborasi antara penegak hukum, pihak berwenang, dan platform media sosial perlu ditingkatkan. Kerja sama ini akan membantu dalam mendeteksi, menginvestigasi, dan mengadili pelaku dengan lebih efektif.</w:t>
      </w:r>
    </w:p>
    <w:p w14:paraId="0000004D"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Pengembangan Hukum yang Relevan: Hukum perlu terus dikembangkan dan diperbarui agar tetap relevan dengan perkembangan teknologi dan media sosial. Peninjauan dan revisi UU ITE serta peraturan terkait lainnya perlu dilakukan secara berkala.</w:t>
      </w:r>
    </w:p>
    <w:p w14:paraId="0000004E" w14:textId="77777777" w:rsidR="006F1625" w:rsidRPr="004164BC" w:rsidRDefault="00000000">
      <w:pPr>
        <w:ind w:firstLine="7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color w:val="222222"/>
          <w:sz w:val="24"/>
          <w:szCs w:val="24"/>
          <w:highlight w:val="white"/>
        </w:rPr>
        <w:t>Pengendalian tindakan pencemaran nama baik di media sosial adalah tantangan yang kompleks, tetapi dengan kesadaran hukum yang lebih tinggi dan upaya kolaboratif, mungkin kita dapat mencapai lingkungan online yang lebih aman dan etis bagi semua pengguna.</w:t>
      </w:r>
    </w:p>
    <w:p w14:paraId="0000004F" w14:textId="77777777" w:rsidR="006F1625" w:rsidRPr="004164BC" w:rsidRDefault="006F1625">
      <w:pPr>
        <w:ind w:firstLine="720"/>
        <w:jc w:val="both"/>
        <w:rPr>
          <w:rFonts w:ascii="Times New Roman" w:eastAsia="Times New Roman" w:hAnsi="Times New Roman" w:cs="Times New Roman"/>
          <w:color w:val="222222"/>
          <w:sz w:val="24"/>
          <w:szCs w:val="24"/>
          <w:highlight w:val="white"/>
        </w:rPr>
      </w:pPr>
    </w:p>
    <w:p w14:paraId="00000050" w14:textId="77777777" w:rsidR="006F1625" w:rsidRPr="004164BC" w:rsidRDefault="006F1625">
      <w:pPr>
        <w:ind w:firstLine="720"/>
        <w:jc w:val="both"/>
        <w:rPr>
          <w:rFonts w:ascii="Times New Roman" w:eastAsia="Times New Roman" w:hAnsi="Times New Roman" w:cs="Times New Roman"/>
          <w:color w:val="222222"/>
          <w:sz w:val="24"/>
          <w:szCs w:val="24"/>
          <w:highlight w:val="white"/>
        </w:rPr>
      </w:pPr>
    </w:p>
    <w:p w14:paraId="00000051" w14:textId="77777777" w:rsidR="006F1625" w:rsidRPr="004164BC" w:rsidRDefault="00000000">
      <w:pPr>
        <w:spacing w:before="20"/>
        <w:jc w:val="both"/>
        <w:rPr>
          <w:rFonts w:ascii="Times New Roman" w:eastAsia="Times New Roman" w:hAnsi="Times New Roman" w:cs="Times New Roman"/>
          <w:b/>
          <w:sz w:val="24"/>
          <w:szCs w:val="24"/>
        </w:rPr>
      </w:pPr>
      <w:r w:rsidRPr="004164BC">
        <w:rPr>
          <w:rFonts w:ascii="Times New Roman" w:hAnsi="Times New Roman" w:cs="Times New Roman"/>
        </w:rPr>
        <w:br w:type="page"/>
      </w:r>
    </w:p>
    <w:p w14:paraId="00000052" w14:textId="77777777" w:rsidR="006F1625" w:rsidRPr="004164BC" w:rsidRDefault="00000000">
      <w:pPr>
        <w:spacing w:before="2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865100204"/>
        <w:placeholder>
          <w:docPart w:val="DefaultPlaceholder_-1854013440"/>
        </w:placeholder>
      </w:sdtPr>
      <w:sdtEndPr>
        <w:rPr>
          <w:color w:val="1155CC"/>
          <w:u w:val="single"/>
        </w:rPr>
      </w:sdtEndPr>
      <w:sdtContent>
        <w:p w14:paraId="48684912" w14:textId="77777777" w:rsidR="004164BC" w:rsidRPr="004164BC" w:rsidRDefault="004164BC">
          <w:pPr>
            <w:autoSpaceDE w:val="0"/>
            <w:autoSpaceDN w:val="0"/>
            <w:ind w:hanging="480"/>
            <w:divId w:val="1491025152"/>
            <w:rPr>
              <w:rFonts w:ascii="Times New Roman" w:eastAsia="Times New Roman" w:hAnsi="Times New Roman" w:cs="Times New Roman"/>
              <w:sz w:val="24"/>
              <w:szCs w:val="24"/>
            </w:rPr>
          </w:pPr>
          <w:r w:rsidRPr="004164BC">
            <w:rPr>
              <w:rFonts w:ascii="Times New Roman" w:eastAsia="Times New Roman" w:hAnsi="Times New Roman" w:cs="Times New Roman"/>
            </w:rPr>
            <w:t xml:space="preserve">Adrizal. (2021). Analisis Yuridis Atas Penghinaan Dan Pencemaran Nama Baik Melaui Media Sosial Facebook Dalam Persepktif UU ITE No. 19 Tahun 2016 (Studi Kasus Putusan Mahkamah Agung Republik Indonesia Nomor 464 K/Pid.Sus/2018). </w:t>
          </w:r>
          <w:r w:rsidRPr="004164BC">
            <w:rPr>
              <w:rFonts w:ascii="Times New Roman" w:eastAsia="Times New Roman" w:hAnsi="Times New Roman" w:cs="Times New Roman"/>
              <w:i/>
              <w:iCs/>
            </w:rPr>
            <w:t>Jurnal Hukum Dan Kemasyarakatan Al-Hikmah</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2</w:t>
          </w:r>
          <w:r w:rsidRPr="004164BC">
            <w:rPr>
              <w:rFonts w:ascii="Times New Roman" w:eastAsia="Times New Roman" w:hAnsi="Times New Roman" w:cs="Times New Roman"/>
            </w:rPr>
            <w:t>(4).</w:t>
          </w:r>
        </w:p>
        <w:p w14:paraId="63C815CC" w14:textId="77777777" w:rsidR="004164BC" w:rsidRPr="004164BC" w:rsidRDefault="004164BC">
          <w:pPr>
            <w:autoSpaceDE w:val="0"/>
            <w:autoSpaceDN w:val="0"/>
            <w:ind w:hanging="480"/>
            <w:divId w:val="970208549"/>
            <w:rPr>
              <w:rFonts w:ascii="Times New Roman" w:eastAsia="Times New Roman" w:hAnsi="Times New Roman" w:cs="Times New Roman"/>
            </w:rPr>
          </w:pPr>
          <w:r w:rsidRPr="004164BC">
            <w:rPr>
              <w:rFonts w:ascii="Times New Roman" w:eastAsia="Times New Roman" w:hAnsi="Times New Roman" w:cs="Times New Roman"/>
            </w:rPr>
            <w:t xml:space="preserve">Bahrul, M., Pawennei, M., &amp; Hambali, A. R. (2022). Analisis Yuridis Terhadap Tindak Pidana Penghinaan Yang Berimplikasi Pencemaran Nama Baik Studi Kasus Putusan No. 1675Pid-Sus2019Pn.Mks. </w:t>
          </w:r>
          <w:r w:rsidRPr="004164BC">
            <w:rPr>
              <w:rFonts w:ascii="Times New Roman" w:eastAsia="Times New Roman" w:hAnsi="Times New Roman" w:cs="Times New Roman"/>
              <w:i/>
              <w:iCs/>
            </w:rPr>
            <w:t>Jourrnal of Lex Generalis (JLS)</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3</w:t>
          </w:r>
          <w:r w:rsidRPr="004164BC">
            <w:rPr>
              <w:rFonts w:ascii="Times New Roman" w:eastAsia="Times New Roman" w:hAnsi="Times New Roman" w:cs="Times New Roman"/>
            </w:rPr>
            <w:t>(2).</w:t>
          </w:r>
        </w:p>
        <w:p w14:paraId="0DF92049" w14:textId="77777777" w:rsidR="004164BC" w:rsidRPr="004164BC" w:rsidRDefault="004164BC">
          <w:pPr>
            <w:autoSpaceDE w:val="0"/>
            <w:autoSpaceDN w:val="0"/>
            <w:ind w:hanging="480"/>
            <w:divId w:val="1558930288"/>
            <w:rPr>
              <w:rFonts w:ascii="Times New Roman" w:eastAsia="Times New Roman" w:hAnsi="Times New Roman" w:cs="Times New Roman"/>
            </w:rPr>
          </w:pPr>
          <w:r w:rsidRPr="004164BC">
            <w:rPr>
              <w:rFonts w:ascii="Times New Roman" w:eastAsia="Times New Roman" w:hAnsi="Times New Roman" w:cs="Times New Roman"/>
            </w:rPr>
            <w:t xml:space="preserve">Hendrianto, E. (2022). </w:t>
          </w:r>
          <w:r w:rsidRPr="004164BC">
            <w:rPr>
              <w:rFonts w:ascii="Times New Roman" w:eastAsia="Times New Roman" w:hAnsi="Times New Roman" w:cs="Times New Roman"/>
              <w:i/>
              <w:iCs/>
            </w:rPr>
            <w:t>Analisis Yuridis Terhadap Tindak Pidana Pencemaran Nama Baik Terkait Hak Kebebasan Berpendapat (Studi Kasus Putusan Nomor.395PID.SUS2018PN.BKN)</w:t>
          </w:r>
          <w:r w:rsidRPr="004164BC">
            <w:rPr>
              <w:rFonts w:ascii="Times New Roman" w:eastAsia="Times New Roman" w:hAnsi="Times New Roman" w:cs="Times New Roman"/>
            </w:rPr>
            <w:t>. Universitas Islam Riau.</w:t>
          </w:r>
        </w:p>
        <w:p w14:paraId="29583696" w14:textId="77777777" w:rsidR="004164BC" w:rsidRPr="004164BC" w:rsidRDefault="004164BC">
          <w:pPr>
            <w:autoSpaceDE w:val="0"/>
            <w:autoSpaceDN w:val="0"/>
            <w:ind w:hanging="480"/>
            <w:divId w:val="1903101496"/>
            <w:rPr>
              <w:rFonts w:ascii="Times New Roman" w:eastAsia="Times New Roman" w:hAnsi="Times New Roman" w:cs="Times New Roman"/>
            </w:rPr>
          </w:pPr>
          <w:r w:rsidRPr="004164BC">
            <w:rPr>
              <w:rFonts w:ascii="Times New Roman" w:eastAsia="Times New Roman" w:hAnsi="Times New Roman" w:cs="Times New Roman"/>
            </w:rPr>
            <w:t xml:space="preserve">Irawan, V. (2020). ANALISIS YURIDIS TERHADAP PELANGGARAN HAK CIPTA PERMAINAN VIDEO (VIDEO GAMES) BERUPA PEMBAJAKAN SECARA ONLINE. In </w:t>
          </w:r>
          <w:r w:rsidRPr="004164BC">
            <w:rPr>
              <w:rFonts w:ascii="Times New Roman" w:eastAsia="Times New Roman" w:hAnsi="Times New Roman" w:cs="Times New Roman"/>
              <w:i/>
              <w:iCs/>
            </w:rPr>
            <w:t>Journal of Intellectual Property</w:t>
          </w:r>
          <w:r w:rsidRPr="004164BC">
            <w:rPr>
              <w:rFonts w:ascii="Times New Roman" w:eastAsia="Times New Roman" w:hAnsi="Times New Roman" w:cs="Times New Roman"/>
            </w:rPr>
            <w:t xml:space="preserve"> (Vol. 3, Issue 2). www.journal.uii.ac.id/JIPRO</w:t>
          </w:r>
        </w:p>
        <w:p w14:paraId="3832D675" w14:textId="77777777" w:rsidR="004164BC" w:rsidRPr="004164BC" w:rsidRDefault="004164BC">
          <w:pPr>
            <w:autoSpaceDE w:val="0"/>
            <w:autoSpaceDN w:val="0"/>
            <w:ind w:hanging="480"/>
            <w:divId w:val="769737354"/>
            <w:rPr>
              <w:rFonts w:ascii="Times New Roman" w:eastAsia="Times New Roman" w:hAnsi="Times New Roman" w:cs="Times New Roman"/>
            </w:rPr>
          </w:pPr>
          <w:r w:rsidRPr="004164BC">
            <w:rPr>
              <w:rFonts w:ascii="Times New Roman" w:eastAsia="Times New Roman" w:hAnsi="Times New Roman" w:cs="Times New Roman"/>
            </w:rPr>
            <w:t xml:space="preserve">Lewansorna, D., Rina, E., Toule, M., &amp; Sopacua, M. (2022). </w:t>
          </w:r>
          <w:r w:rsidRPr="004164BC">
            <w:rPr>
              <w:rFonts w:ascii="Times New Roman" w:eastAsia="Times New Roman" w:hAnsi="Times New Roman" w:cs="Times New Roman"/>
              <w:i/>
              <w:iCs/>
            </w:rPr>
            <w:t>Pertanggungjawaban Pidana Aparat Kepolisian Yang Melakukan Kekerasan Terhadap Demonstran</w:t>
          </w:r>
          <w:r w:rsidRPr="004164BC">
            <w:rPr>
              <w:rFonts w:ascii="Times New Roman" w:eastAsia="Times New Roman" w:hAnsi="Times New Roman" w:cs="Times New Roman"/>
            </w:rPr>
            <w:t xml:space="preserve"> (Vol. 2, Issue 1).</w:t>
          </w:r>
        </w:p>
        <w:p w14:paraId="115A28AA" w14:textId="77777777" w:rsidR="004164BC" w:rsidRPr="004164BC" w:rsidRDefault="004164BC">
          <w:pPr>
            <w:autoSpaceDE w:val="0"/>
            <w:autoSpaceDN w:val="0"/>
            <w:ind w:hanging="480"/>
            <w:divId w:val="1330405749"/>
            <w:rPr>
              <w:rFonts w:ascii="Times New Roman" w:eastAsia="Times New Roman" w:hAnsi="Times New Roman" w:cs="Times New Roman"/>
            </w:rPr>
          </w:pPr>
          <w:r w:rsidRPr="004164BC">
            <w:rPr>
              <w:rFonts w:ascii="Times New Roman" w:eastAsia="Times New Roman" w:hAnsi="Times New Roman" w:cs="Times New Roman"/>
            </w:rPr>
            <w:t xml:space="preserve">Luntungan, J. S., Lumintang, D. W., &amp; Bawole, H. Y. A. (2021). TINJAUAN YURIDIS TERHADAP TINDAK PIDANA PENCEMARAN NAMA BAIK DI MEDIA SOSIAL (Studi Kasus Putusan No. 168Pid.Sus2019PN.MND). </w:t>
          </w:r>
          <w:r w:rsidRPr="004164BC">
            <w:rPr>
              <w:rFonts w:ascii="Times New Roman" w:eastAsia="Times New Roman" w:hAnsi="Times New Roman" w:cs="Times New Roman"/>
              <w:i/>
              <w:iCs/>
            </w:rPr>
            <w:t>Lex Crimen</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10</w:t>
          </w:r>
          <w:r w:rsidRPr="004164BC">
            <w:rPr>
              <w:rFonts w:ascii="Times New Roman" w:eastAsia="Times New Roman" w:hAnsi="Times New Roman" w:cs="Times New Roman"/>
            </w:rPr>
            <w:t>(4).</w:t>
          </w:r>
        </w:p>
        <w:p w14:paraId="4AD6B349" w14:textId="77777777" w:rsidR="004164BC" w:rsidRPr="004164BC" w:rsidRDefault="004164BC">
          <w:pPr>
            <w:autoSpaceDE w:val="0"/>
            <w:autoSpaceDN w:val="0"/>
            <w:ind w:hanging="480"/>
            <w:divId w:val="2038772125"/>
            <w:rPr>
              <w:rFonts w:ascii="Times New Roman" w:eastAsia="Times New Roman" w:hAnsi="Times New Roman" w:cs="Times New Roman"/>
            </w:rPr>
          </w:pPr>
          <w:r w:rsidRPr="004164BC">
            <w:rPr>
              <w:rFonts w:ascii="Times New Roman" w:eastAsia="Times New Roman" w:hAnsi="Times New Roman" w:cs="Times New Roman"/>
            </w:rPr>
            <w:t xml:space="preserve">Oktiawan, C. (2021). YURIDIS TINDAK PIDANA UJARAN KEBENCIAN DALAM MEDIA SOSIAL. </w:t>
          </w:r>
          <w:r w:rsidRPr="004164BC">
            <w:rPr>
              <w:rFonts w:ascii="Times New Roman" w:eastAsia="Times New Roman" w:hAnsi="Times New Roman" w:cs="Times New Roman"/>
              <w:i/>
              <w:iCs/>
            </w:rPr>
            <w:t>Al-Adl Jurnal Hukum</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13</w:t>
          </w:r>
          <w:r w:rsidRPr="004164BC">
            <w:rPr>
              <w:rFonts w:ascii="Times New Roman" w:eastAsia="Times New Roman" w:hAnsi="Times New Roman" w:cs="Times New Roman"/>
            </w:rPr>
            <w:t>(1).</w:t>
          </w:r>
        </w:p>
        <w:p w14:paraId="29A8D3D5" w14:textId="77777777" w:rsidR="004164BC" w:rsidRPr="004164BC" w:rsidRDefault="004164BC">
          <w:pPr>
            <w:autoSpaceDE w:val="0"/>
            <w:autoSpaceDN w:val="0"/>
            <w:ind w:hanging="480"/>
            <w:divId w:val="1684210636"/>
            <w:rPr>
              <w:rFonts w:ascii="Times New Roman" w:eastAsia="Times New Roman" w:hAnsi="Times New Roman" w:cs="Times New Roman"/>
            </w:rPr>
          </w:pPr>
          <w:r w:rsidRPr="004164BC">
            <w:rPr>
              <w:rFonts w:ascii="Times New Roman" w:eastAsia="Times New Roman" w:hAnsi="Times New Roman" w:cs="Times New Roman"/>
            </w:rPr>
            <w:t xml:space="preserve">Purba, I. D. (2023). Analisis Yuridis Tindak Pidana Pencemaran Nama Baik melalui Penggunaan Meme di Media Sosial. </w:t>
          </w:r>
          <w:r w:rsidRPr="004164BC">
            <w:rPr>
              <w:rFonts w:ascii="Times New Roman" w:eastAsia="Times New Roman" w:hAnsi="Times New Roman" w:cs="Times New Roman"/>
              <w:i/>
              <w:iCs/>
            </w:rPr>
            <w:t>Jurnal Tana Mana</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4</w:t>
          </w:r>
          <w:r w:rsidRPr="004164BC">
            <w:rPr>
              <w:rFonts w:ascii="Times New Roman" w:eastAsia="Times New Roman" w:hAnsi="Times New Roman" w:cs="Times New Roman"/>
            </w:rPr>
            <w:t>(3). https://ojs.staialfurqan.ac.id/jtm/</w:t>
          </w:r>
        </w:p>
        <w:p w14:paraId="4CD363D3" w14:textId="77777777" w:rsidR="004164BC" w:rsidRPr="004164BC" w:rsidRDefault="004164BC">
          <w:pPr>
            <w:autoSpaceDE w:val="0"/>
            <w:autoSpaceDN w:val="0"/>
            <w:ind w:hanging="480"/>
            <w:divId w:val="686256534"/>
            <w:rPr>
              <w:rFonts w:ascii="Times New Roman" w:eastAsia="Times New Roman" w:hAnsi="Times New Roman" w:cs="Times New Roman"/>
            </w:rPr>
          </w:pPr>
          <w:r w:rsidRPr="004164BC">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164BC">
            <w:rPr>
              <w:rFonts w:ascii="Times New Roman" w:eastAsia="Times New Roman" w:hAnsi="Times New Roman" w:cs="Times New Roman"/>
              <w:i/>
              <w:iCs/>
            </w:rPr>
            <w:t>FOCUS</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4</w:t>
          </w:r>
          <w:r w:rsidRPr="004164BC">
            <w:rPr>
              <w:rFonts w:ascii="Times New Roman" w:eastAsia="Times New Roman" w:hAnsi="Times New Roman" w:cs="Times New Roman"/>
            </w:rPr>
            <w:t>(1), 36–41. https://doi.org/10.37010/fcs.v4i1.1153</w:t>
          </w:r>
        </w:p>
        <w:p w14:paraId="64A98080" w14:textId="77777777" w:rsidR="004164BC" w:rsidRPr="004164BC" w:rsidRDefault="004164BC">
          <w:pPr>
            <w:autoSpaceDE w:val="0"/>
            <w:autoSpaceDN w:val="0"/>
            <w:ind w:hanging="480"/>
            <w:divId w:val="689454443"/>
            <w:rPr>
              <w:rFonts w:ascii="Times New Roman" w:eastAsia="Times New Roman" w:hAnsi="Times New Roman" w:cs="Times New Roman"/>
            </w:rPr>
          </w:pPr>
          <w:r w:rsidRPr="004164BC">
            <w:rPr>
              <w:rFonts w:ascii="Times New Roman" w:eastAsia="Times New Roman" w:hAnsi="Times New Roman" w:cs="Times New Roman"/>
            </w:rPr>
            <w:t xml:space="preserve">Robbani, H., &amp; Yuliana, N. (2022). Analysis of Factors Affecting Learning Difficulties during the Covid 19 Pandemic. </w:t>
          </w:r>
          <w:r w:rsidRPr="004164BC">
            <w:rPr>
              <w:rFonts w:ascii="Times New Roman" w:eastAsia="Times New Roman" w:hAnsi="Times New Roman" w:cs="Times New Roman"/>
              <w:i/>
              <w:iCs/>
            </w:rPr>
            <w:t>FOCUS</w:t>
          </w:r>
          <w:r w:rsidRPr="004164BC">
            <w:rPr>
              <w:rFonts w:ascii="Times New Roman" w:eastAsia="Times New Roman" w:hAnsi="Times New Roman" w:cs="Times New Roman"/>
            </w:rPr>
            <w:t xml:space="preserve">, </w:t>
          </w:r>
          <w:r w:rsidRPr="004164BC">
            <w:rPr>
              <w:rFonts w:ascii="Times New Roman" w:eastAsia="Times New Roman" w:hAnsi="Times New Roman" w:cs="Times New Roman"/>
              <w:i/>
              <w:iCs/>
            </w:rPr>
            <w:t>3</w:t>
          </w:r>
          <w:r w:rsidRPr="004164BC">
            <w:rPr>
              <w:rFonts w:ascii="Times New Roman" w:eastAsia="Times New Roman" w:hAnsi="Times New Roman" w:cs="Times New Roman"/>
            </w:rPr>
            <w:t>(1), 55–58. https://doi.org/10.37010/fcs.v3i1.537</w:t>
          </w:r>
        </w:p>
        <w:p w14:paraId="00000053" w14:textId="55B38916" w:rsidR="006F1625" w:rsidRPr="004164BC" w:rsidRDefault="004164BC">
          <w:pPr>
            <w:spacing w:before="20"/>
            <w:ind w:left="850" w:hanging="850"/>
            <w:jc w:val="both"/>
            <w:rPr>
              <w:rFonts w:ascii="Times New Roman" w:eastAsia="Times New Roman" w:hAnsi="Times New Roman" w:cs="Times New Roman"/>
              <w:color w:val="222222"/>
              <w:sz w:val="24"/>
              <w:szCs w:val="24"/>
              <w:highlight w:val="white"/>
            </w:rPr>
          </w:pPr>
          <w:r w:rsidRPr="004164BC">
            <w:rPr>
              <w:rFonts w:ascii="Times New Roman" w:eastAsia="Times New Roman" w:hAnsi="Times New Roman" w:cs="Times New Roman"/>
            </w:rPr>
            <w:t> </w:t>
          </w:r>
        </w:p>
      </w:sdtContent>
    </w:sdt>
    <w:p w14:paraId="00000054" w14:textId="77777777" w:rsidR="006F1625" w:rsidRPr="004164BC" w:rsidRDefault="006F1625">
      <w:pPr>
        <w:spacing w:before="20"/>
        <w:ind w:left="850" w:hanging="850"/>
        <w:jc w:val="both"/>
        <w:rPr>
          <w:rFonts w:ascii="Times New Roman" w:eastAsia="Times New Roman" w:hAnsi="Times New Roman" w:cs="Times New Roman"/>
          <w:color w:val="222222"/>
          <w:sz w:val="24"/>
          <w:szCs w:val="24"/>
          <w:highlight w:val="white"/>
        </w:rPr>
      </w:pPr>
    </w:p>
    <w:sectPr w:rsidR="006F1625" w:rsidRPr="004164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C25"/>
    <w:multiLevelType w:val="multilevel"/>
    <w:tmpl w:val="97C00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003DE4"/>
    <w:multiLevelType w:val="multilevel"/>
    <w:tmpl w:val="06E268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6237AF4"/>
    <w:multiLevelType w:val="multilevel"/>
    <w:tmpl w:val="59EAD8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B70BC5"/>
    <w:multiLevelType w:val="multilevel"/>
    <w:tmpl w:val="70284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82299712">
    <w:abstractNumId w:val="3"/>
  </w:num>
  <w:num w:numId="2" w16cid:durableId="2022777004">
    <w:abstractNumId w:val="0"/>
  </w:num>
  <w:num w:numId="3" w16cid:durableId="1116438458">
    <w:abstractNumId w:val="1"/>
  </w:num>
  <w:num w:numId="4" w16cid:durableId="1836803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25"/>
    <w:rsid w:val="004164BC"/>
    <w:rsid w:val="006F16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13C5"/>
  <w15:docId w15:val="{78C4DE4A-05DB-4724-8017-B1D46B25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16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9156">
      <w:bodyDiv w:val="1"/>
      <w:marLeft w:val="0"/>
      <w:marRight w:val="0"/>
      <w:marTop w:val="0"/>
      <w:marBottom w:val="0"/>
      <w:divBdr>
        <w:top w:val="none" w:sz="0" w:space="0" w:color="auto"/>
        <w:left w:val="none" w:sz="0" w:space="0" w:color="auto"/>
        <w:bottom w:val="none" w:sz="0" w:space="0" w:color="auto"/>
        <w:right w:val="none" w:sz="0" w:space="0" w:color="auto"/>
      </w:divBdr>
    </w:div>
    <w:div w:id="1271282375">
      <w:bodyDiv w:val="1"/>
      <w:marLeft w:val="0"/>
      <w:marRight w:val="0"/>
      <w:marTop w:val="0"/>
      <w:marBottom w:val="0"/>
      <w:divBdr>
        <w:top w:val="none" w:sz="0" w:space="0" w:color="auto"/>
        <w:left w:val="none" w:sz="0" w:space="0" w:color="auto"/>
        <w:bottom w:val="none" w:sz="0" w:space="0" w:color="auto"/>
        <w:right w:val="none" w:sz="0" w:space="0" w:color="auto"/>
      </w:divBdr>
      <w:divsChild>
        <w:div w:id="1491025152">
          <w:marLeft w:val="480"/>
          <w:marRight w:val="0"/>
          <w:marTop w:val="0"/>
          <w:marBottom w:val="0"/>
          <w:divBdr>
            <w:top w:val="none" w:sz="0" w:space="0" w:color="auto"/>
            <w:left w:val="none" w:sz="0" w:space="0" w:color="auto"/>
            <w:bottom w:val="none" w:sz="0" w:space="0" w:color="auto"/>
            <w:right w:val="none" w:sz="0" w:space="0" w:color="auto"/>
          </w:divBdr>
        </w:div>
        <w:div w:id="970208549">
          <w:marLeft w:val="480"/>
          <w:marRight w:val="0"/>
          <w:marTop w:val="0"/>
          <w:marBottom w:val="0"/>
          <w:divBdr>
            <w:top w:val="none" w:sz="0" w:space="0" w:color="auto"/>
            <w:left w:val="none" w:sz="0" w:space="0" w:color="auto"/>
            <w:bottom w:val="none" w:sz="0" w:space="0" w:color="auto"/>
            <w:right w:val="none" w:sz="0" w:space="0" w:color="auto"/>
          </w:divBdr>
        </w:div>
        <w:div w:id="1558930288">
          <w:marLeft w:val="480"/>
          <w:marRight w:val="0"/>
          <w:marTop w:val="0"/>
          <w:marBottom w:val="0"/>
          <w:divBdr>
            <w:top w:val="none" w:sz="0" w:space="0" w:color="auto"/>
            <w:left w:val="none" w:sz="0" w:space="0" w:color="auto"/>
            <w:bottom w:val="none" w:sz="0" w:space="0" w:color="auto"/>
            <w:right w:val="none" w:sz="0" w:space="0" w:color="auto"/>
          </w:divBdr>
        </w:div>
        <w:div w:id="1903101496">
          <w:marLeft w:val="480"/>
          <w:marRight w:val="0"/>
          <w:marTop w:val="0"/>
          <w:marBottom w:val="0"/>
          <w:divBdr>
            <w:top w:val="none" w:sz="0" w:space="0" w:color="auto"/>
            <w:left w:val="none" w:sz="0" w:space="0" w:color="auto"/>
            <w:bottom w:val="none" w:sz="0" w:space="0" w:color="auto"/>
            <w:right w:val="none" w:sz="0" w:space="0" w:color="auto"/>
          </w:divBdr>
        </w:div>
        <w:div w:id="769737354">
          <w:marLeft w:val="480"/>
          <w:marRight w:val="0"/>
          <w:marTop w:val="0"/>
          <w:marBottom w:val="0"/>
          <w:divBdr>
            <w:top w:val="none" w:sz="0" w:space="0" w:color="auto"/>
            <w:left w:val="none" w:sz="0" w:space="0" w:color="auto"/>
            <w:bottom w:val="none" w:sz="0" w:space="0" w:color="auto"/>
            <w:right w:val="none" w:sz="0" w:space="0" w:color="auto"/>
          </w:divBdr>
        </w:div>
        <w:div w:id="1330405749">
          <w:marLeft w:val="480"/>
          <w:marRight w:val="0"/>
          <w:marTop w:val="0"/>
          <w:marBottom w:val="0"/>
          <w:divBdr>
            <w:top w:val="none" w:sz="0" w:space="0" w:color="auto"/>
            <w:left w:val="none" w:sz="0" w:space="0" w:color="auto"/>
            <w:bottom w:val="none" w:sz="0" w:space="0" w:color="auto"/>
            <w:right w:val="none" w:sz="0" w:space="0" w:color="auto"/>
          </w:divBdr>
        </w:div>
        <w:div w:id="2038772125">
          <w:marLeft w:val="480"/>
          <w:marRight w:val="0"/>
          <w:marTop w:val="0"/>
          <w:marBottom w:val="0"/>
          <w:divBdr>
            <w:top w:val="none" w:sz="0" w:space="0" w:color="auto"/>
            <w:left w:val="none" w:sz="0" w:space="0" w:color="auto"/>
            <w:bottom w:val="none" w:sz="0" w:space="0" w:color="auto"/>
            <w:right w:val="none" w:sz="0" w:space="0" w:color="auto"/>
          </w:divBdr>
        </w:div>
        <w:div w:id="1684210636">
          <w:marLeft w:val="480"/>
          <w:marRight w:val="0"/>
          <w:marTop w:val="0"/>
          <w:marBottom w:val="0"/>
          <w:divBdr>
            <w:top w:val="none" w:sz="0" w:space="0" w:color="auto"/>
            <w:left w:val="none" w:sz="0" w:space="0" w:color="auto"/>
            <w:bottom w:val="none" w:sz="0" w:space="0" w:color="auto"/>
            <w:right w:val="none" w:sz="0" w:space="0" w:color="auto"/>
          </w:divBdr>
        </w:div>
        <w:div w:id="686256534">
          <w:marLeft w:val="480"/>
          <w:marRight w:val="0"/>
          <w:marTop w:val="0"/>
          <w:marBottom w:val="0"/>
          <w:divBdr>
            <w:top w:val="none" w:sz="0" w:space="0" w:color="auto"/>
            <w:left w:val="none" w:sz="0" w:space="0" w:color="auto"/>
            <w:bottom w:val="none" w:sz="0" w:space="0" w:color="auto"/>
            <w:right w:val="none" w:sz="0" w:space="0" w:color="auto"/>
          </w:divBdr>
        </w:div>
        <w:div w:id="689454443">
          <w:marLeft w:val="480"/>
          <w:marRight w:val="0"/>
          <w:marTop w:val="0"/>
          <w:marBottom w:val="0"/>
          <w:divBdr>
            <w:top w:val="none" w:sz="0" w:space="0" w:color="auto"/>
            <w:left w:val="none" w:sz="0" w:space="0" w:color="auto"/>
            <w:bottom w:val="none" w:sz="0" w:space="0" w:color="auto"/>
            <w:right w:val="none" w:sz="0" w:space="0" w:color="auto"/>
          </w:divBdr>
        </w:div>
      </w:divsChild>
    </w:div>
    <w:div w:id="1429501557">
      <w:bodyDiv w:val="1"/>
      <w:marLeft w:val="0"/>
      <w:marRight w:val="0"/>
      <w:marTop w:val="0"/>
      <w:marBottom w:val="0"/>
      <w:divBdr>
        <w:top w:val="none" w:sz="0" w:space="0" w:color="auto"/>
        <w:left w:val="none" w:sz="0" w:space="0" w:color="auto"/>
        <w:bottom w:val="none" w:sz="0" w:space="0" w:color="auto"/>
        <w:right w:val="none" w:sz="0" w:space="0" w:color="auto"/>
      </w:divBdr>
    </w:div>
    <w:div w:id="1759786519">
      <w:bodyDiv w:val="1"/>
      <w:marLeft w:val="0"/>
      <w:marRight w:val="0"/>
      <w:marTop w:val="0"/>
      <w:marBottom w:val="0"/>
      <w:divBdr>
        <w:top w:val="none" w:sz="0" w:space="0" w:color="auto"/>
        <w:left w:val="none" w:sz="0" w:space="0" w:color="auto"/>
        <w:bottom w:val="none" w:sz="0" w:space="0" w:color="auto"/>
        <w:right w:val="none" w:sz="0" w:space="0" w:color="auto"/>
      </w:divBdr>
    </w:div>
    <w:div w:id="196407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968B55-C276-4AB9-BF04-B16592FE0C50}"/>
      </w:docPartPr>
      <w:docPartBody>
        <w:p w:rsidR="00000000" w:rsidRDefault="003314FC">
          <w:r w:rsidRPr="00CB06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FC"/>
    <w:rsid w:val="003314FC"/>
    <w:rsid w:val="00CB15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4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B87741-AE4A-4E63-8EFB-1A35B5075F3C}">
  <we:reference id="wa104382081" version="1.55.1.0" store="en-US" storeType="OMEX"/>
  <we:alternateReferences>
    <we:reference id="WA104382081" version="1.55.1.0" store="en-US" storeType="OMEX"/>
  </we:alternateReferences>
  <we:properties>
    <we:property name="MENDELEY_CITATIONS" value="[{&quot;citationID&quot;:&quot;MENDELEY_CITATION_c8adb7d7-ba0b-4d18-a95c-948faadda7c7&quot;,&quot;properties&quot;:{&quot;noteIndex&quot;:0},&quot;isEdited&quot;:false,&quot;manualOverride&quot;:{&quot;isManuallyOverridden&quot;:false,&quot;citeprocText&quot;:&quot;(Adrizal, 2021)&quot;,&quot;manualOverrideText&quot;:&quot;&quot;},&quot;citationTag&quot;:&quot;MENDELEY_CITATION_v3_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&quot;,&quot;citationItems&quot;:[{&quot;id&quot;:&quot;384615a8-bcce-3786-8334-603d493019da&quot;,&quot;itemData&quot;:{&quot;type&quot;:&quot;article-journal&quot;,&quot;id&quot;:&quot;384615a8-bcce-3786-8334-603d493019da&quot;,&quot;title&quot;:&quot;Analisis Yuridis Atas Penghinaan Dan Pencemaran Nama Baik Melaui Media Sosial Facebook Dalam Persepktif UU ITE No. 19 Tahun 2016 (Studi Kasus Putusan Mahkamah Agung Republik Indonesia Nomor 464 K/Pid.Sus/2018)&quot;,&quot;author&quot;:[{&quot;family&quot;:&quot;Adrizal&quot;,&quot;given&quot;:&quot;&quot;,&quot;parse-names&quot;:false,&quot;dropping-particle&quot;:&quot;&quot;,&quot;non-dropping-particle&quot;:&quot;&quot;}],&quot;container-title&quot;:&quot;Jurnal Hukum dan Kemasyarakatan Al-Hikmah&quot;,&quot;issued&quot;:{&quot;date-parts&quot;:[[2021]]},&quot;issue&quot;:&quot;4&quot;,&quot;volume&quot;:&quot;2&quot;,&quot;container-title-short&quot;:&quot;&quot;},&quot;isTemporary&quot;:false}]},{&quot;citationID&quot;:&quot;MENDELEY_CITATION_0cbbcdeb-6894-4391-aff6-ac5cc8d08a68&quot;,&quot;properties&quot;:{&quot;noteIndex&quot;:0},&quot;isEdited&quot;:false,&quot;manualOverride&quot;:{&quot;isManuallyOverridden&quot;:false,&quot;citeprocText&quot;:&quot;(Bahrul et al., 2022)&quot;,&quot;manualOverrideText&quot;:&quot;&quot;},&quot;citationTag&quot;:&quot;MENDELEY_CITATION_v3_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&quot;,&quot;citationItems&quot;:[{&quot;id&quot;:&quot;22cd89c9-602c-3dde-9ddf-f4b25aee2af9&quot;,&quot;itemData&quot;:{&quot;type&quot;:&quot;article-journal&quot;,&quot;id&quot;:&quot;22cd89c9-602c-3dde-9ddf-f4b25aee2af9&quot;,&quot;title&quot;:&quot;Analisis Yuridis Terhadap Tindak Pidana Penghinaan Yang Berimplikasi Pencemaran Nama Baik Studi Kasus Putusan No. 1675Pid-Sus2019Pn.Mks&quot;,&quot;author&quot;:[{&quot;family&quot;:&quot;Bahrul&quot;,&quot;given&quot;:&quot;Maulana&quot;,&quot;parse-names&quot;:false,&quot;dropping-particle&quot;:&quot;&quot;,&quot;non-dropping-particle&quot;:&quot;&quot;},{&quot;family&quot;:&quot;Pawennei&quot;,&quot;given&quot;:&quot;Mulyati&quot;,&quot;parse-names&quot;:false,&quot;dropping-particle&quot;:&quot;&quot;,&quot;non-dropping-particle&quot;:&quot;&quot;},{&quot;family&quot;:&quot;Hambali&quot;,&quot;given&quot;:&quot;Azwad Rachmat&quot;,&quot;parse-names&quot;:false,&quot;dropping-particle&quot;:&quot;&quot;,&quot;non-dropping-particle&quot;:&quot;&quot;}],&quot;container-title&quot;:&quot;Jourrnal of Lex Generalis (JLS)&quot;,&quot;issued&quot;:{&quot;date-parts&quot;:[[2022]]},&quot;issue&quot;:&quot;2&quot;,&quot;volume&quot;:&quot;3&quot;,&quot;container-title-short&quot;:&quot;&quot;},&quot;isTemporary&quot;:false}]},{&quot;citationID&quot;:&quot;MENDELEY_CITATION_45146aa9-983b-4237-ba10-70ddaddbbe8d&quot;,&quot;properties&quot;:{&quot;noteIndex&quot;:0},&quot;isEdited&quot;:false,&quot;manualOverride&quot;:{&quot;isManuallyOverridden&quot;:false,&quot;citeprocText&quot;:&quot;(Oktiawan, 2021)&quot;,&quot;manualOverrideText&quot;:&quot;&quot;},&quot;citationTag&quot;:&quot;MENDELEY_CITATION_v3_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&quot;,&quot;citationItems&quot;:[{&quot;id&quot;:&quot;870ff39b-d9c1-3f6e-9d8c-cc9b2099c69b&quot;,&quot;itemData&quot;:{&quot;type&quot;:&quot;article-journal&quot;,&quot;id&quot;:&quot;870ff39b-d9c1-3f6e-9d8c-cc9b2099c69b&quot;,&quot;title&quot;:&quot;YURIDIS TINDAK PIDANA UJARAN KEBENCIAN DALAM MEDIA SOSIAL&quot;,&quot;author&quot;:[{&quot;family&quot;:&quot;Oktiawan&quot;,&quot;given&quot;:&quot;Chandra&quot;,&quot;parse-names&quot;:false,&quot;dropping-particle&quot;:&quot;&quot;,&quot;non-dropping-particle&quot;:&quot;&quot;}],&quot;container-title&quot;:&quot;Al-Adl Jurnal Hukum&quot;,&quot;issued&quot;:{&quot;date-parts&quot;:[[2021]]},&quot;abstract&quot;:&quot;The purpose of this research is to find out how hate speech is viewed in terms of the aspect of fighting the law, how to regulate and take responsibility for criminal acts of hate speech through social media and how to prove hate speech through social media. The research method used in this article is juridical normative, namely legal research which is carried out by examining library materials or secondary data as the basic material for research by conducting a search of the rules and literature related to the problem under study. Secondary data is a source of research data obtained through intermediary media or indirectly in the form of books, records, existing evidence, or archives that are published or not generally published. This legal research is needed to present law in an integral way according to the needs of the study of legal science itself. The results of the study found that many Indonesians use social media by making hate speech. This happened because they did not understand the existing law. However, mistakes and omissions remain the responsibility of individuals as legal subjects, there is less socialization to the community by law enforcers related to education and law enforcement and the community itself should be smarter in using social media. The freedom to express written and oral opinions has become the right of every Indonesian citizen as stipulated in Article 28 of the 1945 Constitution of the Republic of Indonesia. In this era, people could easily access social media and express their opinions. Every opinion must be accounted for and must not conflict with existing norms. Unlimited freedom of opinion can lead to criminal acts of hate speech (Hate Speech). Hate speech in Indonesia has not been specifically regulated in a statutory regulation. Criminal liability for perpetrators of hate speech on social media is generally regulated in the Criminal Code (KUHP) and in Law Number 19 of 2016 concerning Amendments to Law Number 11 of 2008 concerning Electronic Information and Transactions.&quot;,&quot;issue&quot;:&quot;1&quot;,&quot;volume&quot;:&quot;13&quot;,&quot;container-title-short&quot;:&quot;&quot;},&quot;isTemporary&quot;:false}]},{&quot;citationID&quot;:&quot;MENDELEY_CITATION_62c4ce75-7196-4d88-9535-f263bed53524&quot;,&quot;properties&quot;:{&quot;noteIndex&quot;:0},&quot;isEdited&quot;:false,&quot;manualOverride&quot;:{&quot;isManuallyOverridden&quot;:false,&quot;citeprocText&quot;:&quot;(Luntungan et al., 2021)&quot;,&quot;manualOverrideText&quot;:&quot;&quot;},&quot;citationTag&quot;:&quot;MENDELEY_CITATION_v3_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&quot;,&quot;citationItems&quot;:[{&quot;id&quot;:&quot;7f74e400-269b-3d6c-8f4b-50d55b8d08ab&quot;,&quot;itemData&quot;:{&quot;type&quot;:&quot;article-journal&quot;,&quot;id&quot;:&quot;7f74e400-269b-3d6c-8f4b-50d55b8d08ab&quot;,&quot;title&quot;:&quot;TINJAUAN YURIDIS TERHADAP TINDAK PIDANA PENCEMARAN NAMA BAIK DI MEDIA SOSIAL (Studi Kasus Putusan No. 168Pid.Sus2019PN.MND)&quot;,&quot;author&quot;:[{&quot;family&quot;:&quot;Luntungan&quot;,&quot;given&quot;:&quot;Jeremy Satya&quot;,&quot;parse-names&quot;:false,&quot;dropping-particle&quot;:&quot;&quot;,&quot;non-dropping-particle&quot;:&quot;&quot;},{&quot;family&quot;:&quot;Lumintang&quot;,&quot;given&quot;:&quot;Djefry Welly&quot;,&quot;parse-names&quot;:false,&quot;dropping-particle&quot;:&quot;&quot;,&quot;non-dropping-particle&quot;:&quot;&quot;},{&quot;family&quot;:&quot;Bawole&quot;,&quot;given&quot;:&quot;Herlyanty Y. A.&quot;,&quot;parse-names&quot;:false,&quot;dropping-particle&quot;:&quot;&quot;,&quot;non-dropping-particle&quot;:&quot;&quot;}],&quot;container-title&quot;:&quot;Lex Crimen&quot;,&quot;issued&quot;:{&quot;date-parts&quot;:[[2021]]},&quot;issue&quot;:&quot;4&quot;,&quot;volume&quot;:&quot;10&quot;,&quot;container-title-short&quot;:&quot;&quot;},&quot;isTemporary&quot;:false}]},{&quot;citationID&quot;:&quot;MENDELEY_CITATION_84477fe9-b633-468a-bbb8-f209ef0a043c&quot;,&quot;properties&quot;:{&quot;noteIndex&quot;:0},&quot;isEdited&quot;:false,&quot;manualOverride&quot;:{&quot;isManuallyOverridden&quot;:false,&quot;citeprocText&quot;:&quot;(Hendrianto, 2022)&quot;,&quot;manualOverrideText&quot;:&quot;&quot;},&quot;citationTag&quot;:&quot;MENDELEY_CITATION_v3_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&quot;,&quot;citationItems&quot;:[{&quot;id&quot;:&quot;605b06fe-ee00-341f-a873-cf16f11f9df7&quot;,&quot;itemData&quot;:{&quot;type&quot;:&quot;thesis&quot;,&quot;id&quot;:&quot;605b06fe-ee00-341f-a873-cf16f11f9df7&quot;,&quot;title&quot;:&quot;Analisis Yuridis Terhadap Tindak Pidana Pencemaran Nama Baik Terkait Hak Kebebasan Berpendapat (Studi Kasus Putusan Nomor.395PID.SUS2018PN.BKN)&quot;,&quot;author&quot;:[{&quot;family&quot;:&quot;Hendrianto&quot;,&quot;given&quot;:&quot;Edwin&quot;,&quot;parse-names&quot;:false,&quot;dropping-particle&quot;:&quot;&quot;,&quot;non-dropping-particle&quot;:&quot;&quot;}],&quot;issued&quot;:{&quot;date-parts&quot;:[[2022]]},&quot;publisher-place&quot;:&quot;Pekanbaru&quot;,&quot;publisher&quot;:&quot;Universitas Islam Riau&quot;,&quot;container-title-short&quot;:&quot;&quot;},&quot;isTemporary&quot;:false}]},{&quot;citationID&quot;:&quot;MENDELEY_CITATION_a506e112-1e0a-4daf-bba9-63010f773fc7&quot;,&quot;properties&quot;:{&quot;noteIndex&quot;:0},&quot;isEdited&quot;:false,&quot;manualOverride&quot;:{&quot;isManuallyOverridden&quot;:false,&quot;citeprocText&quot;:&quot;(Purba, 2023)&quot;,&quot;manualOverrideText&quot;:&quot;&quot;},&quot;citationTag&quot;:&quot;MENDELEY_CITATION_v3_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&quot;,&quot;citationItems&quot;:[{&quot;id&quot;:&quot;73e353ed-eb8e-3db2-b021-d37093acfada&quot;,&quot;itemData&quot;:{&quot;type&quot;:&quot;article-journal&quot;,&quot;id&quot;:&quot;73e353ed-eb8e-3db2-b021-d37093acfada&quot;,&quot;title&quot;:&quot;Analisis Yuridis Tindak Pidana Pencemaran Nama Baik melalui Penggunaan Meme di Media Sosial&quot;,&quot;author&quot;:[{&quot;family&quot;:&quot;Purba&quot;,&quot;given&quot;:&quot;Inggou David&quot;,&quot;parse-names&quot;:false,&quot;dropping-particle&quot;:&quot;&quot;,&quot;non-dropping-particle&quot;:&quot;&quot;}],&quot;container-title&quot;:&quot;Jurnal Tana Mana&quot;,&quot;URL&quot;:&quot;https://ojs.staialfurqan.ac.id/jtm/&quot;,&quot;issued&quot;:{&quot;date-parts&quot;:[[2023]]},&quot;abstract&quot;:&quot;This study is to find out what legal rules will be enforced when such things happen and what the impact or legal consequences will be. This research uses a normative juridical approach. The data needed in this study were collected in two types of data, namely Primary Data, which is data obtained from the results of literature review through searching library materials such as literature, books, newspapers, articles, Legislation, agency archives, decisions of the panel of judges, and secondary data is data obtained from searching memes on social media that are suspected of containing elements of insult or defamation. Data analysis by processing primary data and secondary data using Descriptive Juridical analysis techniques, namely by aligning and describing the real situation regarding the criminal act of defamation through the misuse of internet memes on social media. The research results reveal that the implementation of laws and regulations related to defamation through social media that apply in Indonesia is based on Law Number 19 of 2016 concerning Amendments to Law Number 11 of 2008 concerning Information &amp; Electronic Transactions and the legal consequence is the punishment of the perpetrators of the crime, but it is felt that it has not been effective and does not have a deterrent effect on the perpetrators, because it is a complaint offense, and the criminal sanctions are also much lighter as in Article 45 paragraph (3) Law Number 19 of 2016 with a maximum prison sentence of 4 years so that the perpetrator will not be detained during the investigation and examination process at trial.&quot;,&quot;issue&quot;:&quot;3&quot;,&quot;volume&quot;:&quot;4&quot;,&quot;container-title-short&quot;:&quot;&quot;},&quot;isTemporary&quot;:false}]},{&quot;citationID&quot;:&quot;MENDELEY_CITATION_b38dbc25-5075-4ac5-934c-09a5fe5b900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jM4ZGJjMjUtNTA3NS00YWM1LTkzNGMtMDlhNWZlNWI5MDB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85e6ee30-4ac3-41ae-9f11-08a07ef07140&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DVlNmVlMzAtNGFjMy00MWFlLTlmMTEtMDhhMDdlZjA3MTQw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1073fed-2d93-4930-9ccf-e9f5ec443b36&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DEwNzNmZWQtMmQ5My00OTMwLTljY2YtZTlmNWVjNDQzYjM2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f1cf408-9d59-4c4a-aaff-d8b56cf7317f&quot;,&quot;properties&quot;:{&quot;noteIndex&quot;:0},&quot;isEdited&quot;:false,&quot;manualOverride&quot;:{&quot;isManuallyOverridden&quot;:false,&quot;citeprocText&quot;:&quot;(Irawan, 2020)&quot;,&quot;manualOverrideText&quot;:&quot;&quot;},&quot;citationTag&quot;:&quot;MENDELEY_CITATION_v3_eyJjaXRhdGlvbklEIjoiTUVOREVMRVlfQ0lUQVRJT05fNmYxY2Y0MDgtOWQ1OS00YzRhLWFhZmYtZDhiNTZjZjczMTd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z/Jc30NrpK/e48nCeMvUrwW4lA==">CgMxLjA4AHIhMUw3UDFJNjJHWjFHTWo2c2xsOXZ2b19mTjF4UmV4Y3JG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65D2C7-8EDC-421F-B24C-B968CAC5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2913</Words>
  <Characters>19057</Characters>
  <Application>Microsoft Office Word</Application>
  <DocSecurity>0</DocSecurity>
  <Lines>317</Lines>
  <Paragraphs>87</Paragraphs>
  <ScaleCrop>false</ScaleCrop>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2023-09-29T00:56:00Z</dcterms:created>
  <dcterms:modified xsi:type="dcterms:W3CDTF">2023-09-29T00:59:00Z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0c48ce498844fd721ebbc87a659f394377d469cc762d745c966f2644375bbc8b</vt:lpwstr>
  </property>
</Properties>
</file>