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2FD4" w:rsidRPr="00210C44" w:rsidRDefault="00000000">
      <w:pPr>
        <w:jc w:val="center"/>
        <w:rPr>
          <w:rFonts w:ascii="Times New Roman" w:eastAsia="Times New Roman" w:hAnsi="Times New Roman" w:cs="Times New Roman"/>
          <w:b/>
          <w:sz w:val="28"/>
          <w:szCs w:val="28"/>
        </w:rPr>
      </w:pPr>
      <w:r w:rsidRPr="00210C44">
        <w:rPr>
          <w:rFonts w:ascii="Times New Roman" w:eastAsia="Times New Roman" w:hAnsi="Times New Roman" w:cs="Times New Roman"/>
          <w:b/>
          <w:sz w:val="28"/>
          <w:szCs w:val="28"/>
        </w:rPr>
        <w:t>Pembuktian Terbalik dalam Tindak Pidana Korupsi: Analisis Terhadap Kerangka Hukum di Indonesia</w:t>
      </w:r>
    </w:p>
    <w:p w14:paraId="00000002" w14:textId="77777777" w:rsidR="00342FD4" w:rsidRPr="00210C44" w:rsidRDefault="00342FD4">
      <w:pPr>
        <w:jc w:val="center"/>
        <w:rPr>
          <w:rFonts w:ascii="Times New Roman" w:eastAsia="Times New Roman" w:hAnsi="Times New Roman" w:cs="Times New Roman"/>
          <w:b/>
          <w:sz w:val="28"/>
          <w:szCs w:val="28"/>
        </w:rPr>
      </w:pPr>
    </w:p>
    <w:p w14:paraId="00000003" w14:textId="77777777" w:rsidR="00342FD4" w:rsidRPr="00210C44" w:rsidRDefault="00342FD4">
      <w:pPr>
        <w:jc w:val="both"/>
        <w:rPr>
          <w:rFonts w:ascii="Times New Roman" w:eastAsia="Times New Roman" w:hAnsi="Times New Roman" w:cs="Times New Roman"/>
          <w:b/>
          <w:sz w:val="28"/>
          <w:szCs w:val="28"/>
        </w:rPr>
      </w:pPr>
    </w:p>
    <w:p w14:paraId="00000004" w14:textId="77777777" w:rsidR="00342FD4" w:rsidRPr="00210C44" w:rsidRDefault="00000000">
      <w:pPr>
        <w:ind w:left="720"/>
        <w:jc w:val="both"/>
        <w:rPr>
          <w:rFonts w:ascii="Times New Roman" w:eastAsia="Times New Roman" w:hAnsi="Times New Roman" w:cs="Times New Roman"/>
          <w:b/>
          <w:sz w:val="24"/>
          <w:szCs w:val="24"/>
        </w:rPr>
      </w:pPr>
      <w:r w:rsidRPr="00210C44">
        <w:rPr>
          <w:rFonts w:ascii="Times New Roman" w:eastAsia="Times New Roman" w:hAnsi="Times New Roman" w:cs="Times New Roman"/>
          <w:b/>
          <w:sz w:val="24"/>
          <w:szCs w:val="24"/>
        </w:rPr>
        <w:t>Abstrak</w:t>
      </w:r>
    </w:p>
    <w:p w14:paraId="00000005" w14:textId="77777777" w:rsidR="00342FD4" w:rsidRPr="00210C44" w:rsidRDefault="00000000">
      <w:pPr>
        <w:ind w:left="720" w:firstLine="72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color w:val="222222"/>
          <w:sz w:val="24"/>
          <w:szCs w:val="24"/>
          <w:highlight w:val="white"/>
        </w:rPr>
        <w:t>Indonesia adalah negara berdasarkan hukum dengan kerangka utama yang berbentuk undang-undang, ditegaskan dalam UUD 1945. Dalam masyarakat, hukum memainkan peran yang dominan untuk menciptakan rasa kepastian. Kepastian hukum penting untuk menjaga ketertiban dan mewujudkan keadilan bagi masyarakat. Namun, permasalahan sosial seperti korupsi telah mengikis kepercayaan masyarakat pada keadilan hukum. Tindak pidana korupsi memiliki konotasi luas yang melibatkan berbagai bentuk pelanggaran, sering kali melibatkan pejabat pemerintah daerah. Data menunjukkan keterlibatan pejabat daerah dalam kasus korupsi meningkat sejak 2004.</w:t>
      </w:r>
    </w:p>
    <w:p w14:paraId="00000006" w14:textId="77777777" w:rsidR="00342FD4" w:rsidRPr="00210C44" w:rsidRDefault="00000000">
      <w:pPr>
        <w:ind w:left="720" w:firstLine="72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color w:val="222222"/>
          <w:sz w:val="24"/>
          <w:szCs w:val="24"/>
          <w:highlight w:val="white"/>
        </w:rPr>
        <w:t>Penelitian ini menggunakan metode kualitatif dengan teknik hukum normatif. Data yang dikumpulkan bersifat deskriptif, diperoleh dari dokumen tertulis, wawancara, dan observasi. Penelitian berfokus pada literatur, dengan sumber primer seperti dokumen resmi pemerintah, dan sumber sekunder sebagai informasi pelengkap.</w:t>
      </w:r>
    </w:p>
    <w:p w14:paraId="00000007" w14:textId="77777777" w:rsidR="00342FD4" w:rsidRPr="00210C44" w:rsidRDefault="00000000">
      <w:pPr>
        <w:ind w:left="720" w:firstLine="72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color w:val="222222"/>
          <w:sz w:val="24"/>
          <w:szCs w:val="24"/>
          <w:highlight w:val="white"/>
        </w:rPr>
        <w:t>Pengadilan khusus korupsi berada di setiap ibu kota provinsi berdasarkan UU No. 46 Tahun 2009. Proses pembuktian dalam sidang perkara pidana menjadi sentral, menentukan kesalahan terdakwa berdasarkan bukti sah. Ada empat konsep teori pembuktian, termasuk pembuktian sesuai undang-undang dan pembuktian berdasarkan keyakinan pribadi hakim. Meskipun KUHAP menganut sistem pembuktian berdasarkan undang-undang, dalam praktik, metodenya cenderung positif. "Pembuktian Terbalik" memberi beban kepada terdakwa untuk membuktikan ketidakbersalahannya, berbeda dengan metode tradisional.</w:t>
      </w:r>
    </w:p>
    <w:p w14:paraId="00000008" w14:textId="77777777" w:rsidR="00342FD4" w:rsidRPr="00210C44" w:rsidRDefault="00342FD4">
      <w:pPr>
        <w:ind w:left="720" w:firstLine="720"/>
        <w:jc w:val="both"/>
        <w:rPr>
          <w:rFonts w:ascii="Times New Roman" w:eastAsia="Times New Roman" w:hAnsi="Times New Roman" w:cs="Times New Roman"/>
          <w:color w:val="222222"/>
          <w:sz w:val="24"/>
          <w:szCs w:val="24"/>
          <w:highlight w:val="white"/>
        </w:rPr>
      </w:pPr>
    </w:p>
    <w:p w14:paraId="00000009" w14:textId="77777777" w:rsidR="00342FD4" w:rsidRPr="00210C44" w:rsidRDefault="00000000">
      <w:pPr>
        <w:ind w:left="720" w:firstLine="72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b/>
          <w:color w:val="222222"/>
          <w:sz w:val="24"/>
          <w:szCs w:val="24"/>
          <w:highlight w:val="white"/>
        </w:rPr>
        <w:t>Keywords</w:t>
      </w:r>
      <w:r w:rsidRPr="00210C44">
        <w:rPr>
          <w:rFonts w:ascii="Times New Roman" w:eastAsia="Times New Roman" w:hAnsi="Times New Roman" w:cs="Times New Roman"/>
          <w:color w:val="222222"/>
          <w:sz w:val="24"/>
          <w:szCs w:val="24"/>
          <w:highlight w:val="white"/>
        </w:rPr>
        <w:t>: Hukum Indonesia, Korupsi, Pembuktian Terbalik, KUHAP, Tindak Pidana Korupsi.</w:t>
      </w:r>
    </w:p>
    <w:p w14:paraId="0000000A" w14:textId="77777777" w:rsidR="00342FD4" w:rsidRPr="00210C44" w:rsidRDefault="00342FD4">
      <w:pPr>
        <w:ind w:left="720" w:firstLine="720"/>
        <w:jc w:val="both"/>
        <w:rPr>
          <w:rFonts w:ascii="Times New Roman" w:eastAsia="Times New Roman" w:hAnsi="Times New Roman" w:cs="Times New Roman"/>
          <w:color w:val="222222"/>
          <w:sz w:val="24"/>
          <w:szCs w:val="24"/>
          <w:highlight w:val="white"/>
        </w:rPr>
      </w:pPr>
    </w:p>
    <w:p w14:paraId="0000000B" w14:textId="77777777" w:rsidR="00342FD4" w:rsidRPr="00210C44" w:rsidRDefault="00000000">
      <w:pPr>
        <w:ind w:left="720" w:firstLine="720"/>
        <w:jc w:val="both"/>
        <w:rPr>
          <w:rFonts w:ascii="Times New Roman" w:eastAsia="Times New Roman" w:hAnsi="Times New Roman" w:cs="Times New Roman"/>
          <w:i/>
          <w:color w:val="222222"/>
          <w:sz w:val="24"/>
          <w:szCs w:val="24"/>
          <w:highlight w:val="white"/>
        </w:rPr>
      </w:pPr>
      <w:r w:rsidRPr="00210C44">
        <w:rPr>
          <w:rFonts w:ascii="Times New Roman" w:eastAsia="Times New Roman" w:hAnsi="Times New Roman" w:cs="Times New Roman"/>
          <w:i/>
          <w:color w:val="222222"/>
          <w:sz w:val="24"/>
          <w:szCs w:val="24"/>
          <w:highlight w:val="white"/>
        </w:rPr>
        <w:t>.Indonesia is a country based on law with the main framework in the form of laws, confirmed in the 1945 Constitution. In society, law plays a dominant role in creating a sense of certainty. Legal certainty is important to maintain order and realize justice for society. However, social problems such as corruption have eroded people's trust in legal justice. The crime of corruption has a broad connotation involving various forms of violations, often involving local government officials. Data shows that the involvement of regional officials in corruption cases has increased since 2004.</w:t>
      </w:r>
    </w:p>
    <w:p w14:paraId="0000000C" w14:textId="77777777" w:rsidR="00342FD4" w:rsidRPr="00210C44" w:rsidRDefault="00000000">
      <w:pPr>
        <w:ind w:left="720" w:firstLine="720"/>
        <w:jc w:val="both"/>
        <w:rPr>
          <w:rFonts w:ascii="Times New Roman" w:eastAsia="Times New Roman" w:hAnsi="Times New Roman" w:cs="Times New Roman"/>
          <w:i/>
          <w:color w:val="222222"/>
          <w:sz w:val="24"/>
          <w:szCs w:val="24"/>
          <w:highlight w:val="white"/>
        </w:rPr>
      </w:pPr>
      <w:r w:rsidRPr="00210C44">
        <w:rPr>
          <w:rFonts w:ascii="Times New Roman" w:eastAsia="Times New Roman" w:hAnsi="Times New Roman" w:cs="Times New Roman"/>
          <w:i/>
          <w:color w:val="222222"/>
          <w:sz w:val="24"/>
          <w:szCs w:val="24"/>
          <w:highlight w:val="white"/>
        </w:rPr>
        <w:t>This research uses qualitative methods with normative legal techniques. The data collected is descriptive, obtained from written documents, interviews and observations. Research focuses on literature, with primary sources such as official government documents, and secondary sources as complementary information.</w:t>
      </w:r>
    </w:p>
    <w:p w14:paraId="0000000D" w14:textId="77777777" w:rsidR="00342FD4" w:rsidRPr="00210C44" w:rsidRDefault="00000000">
      <w:pPr>
        <w:ind w:left="720" w:firstLine="720"/>
        <w:jc w:val="both"/>
        <w:rPr>
          <w:rFonts w:ascii="Times New Roman" w:eastAsia="Times New Roman" w:hAnsi="Times New Roman" w:cs="Times New Roman"/>
          <w:i/>
          <w:color w:val="222222"/>
          <w:sz w:val="24"/>
          <w:szCs w:val="24"/>
          <w:highlight w:val="white"/>
        </w:rPr>
      </w:pPr>
      <w:r w:rsidRPr="00210C44">
        <w:rPr>
          <w:rFonts w:ascii="Times New Roman" w:eastAsia="Times New Roman" w:hAnsi="Times New Roman" w:cs="Times New Roman"/>
          <w:i/>
          <w:color w:val="222222"/>
          <w:sz w:val="24"/>
          <w:szCs w:val="24"/>
          <w:highlight w:val="white"/>
        </w:rPr>
        <w:t xml:space="preserve">Special corruption courts are located in each provincial capital based on Law no. 46 of 2009. The evidentiary process in criminal trials is central, determining the defendant's guilt based on valid evidence. There are four theoretical concepts of </w:t>
      </w:r>
      <w:r w:rsidRPr="00210C44">
        <w:rPr>
          <w:rFonts w:ascii="Times New Roman" w:eastAsia="Times New Roman" w:hAnsi="Times New Roman" w:cs="Times New Roman"/>
          <w:i/>
          <w:color w:val="222222"/>
          <w:sz w:val="24"/>
          <w:szCs w:val="24"/>
          <w:highlight w:val="white"/>
        </w:rPr>
        <w:lastRenderedPageBreak/>
        <w:t>evidence, including evidence according to the law and evidence based on the judge's personal beliefs. Even though the Criminal Procedure Code adheres to an evidentiary system based on law, in practice, its methods tend to be positive. “Reverse Proof” places the burden on the defendant to prove his innocence, as opposed to traditional methods.</w:t>
      </w:r>
    </w:p>
    <w:p w14:paraId="0000000E" w14:textId="77777777" w:rsidR="00342FD4" w:rsidRPr="00210C44" w:rsidRDefault="00342FD4">
      <w:pPr>
        <w:ind w:left="720" w:firstLine="720"/>
        <w:jc w:val="both"/>
        <w:rPr>
          <w:rFonts w:ascii="Times New Roman" w:eastAsia="Times New Roman" w:hAnsi="Times New Roman" w:cs="Times New Roman"/>
          <w:i/>
          <w:color w:val="222222"/>
          <w:sz w:val="24"/>
          <w:szCs w:val="24"/>
          <w:highlight w:val="white"/>
        </w:rPr>
      </w:pPr>
    </w:p>
    <w:p w14:paraId="0000000F" w14:textId="77777777" w:rsidR="00342FD4" w:rsidRPr="00210C44" w:rsidRDefault="00000000">
      <w:pPr>
        <w:ind w:left="720" w:firstLine="720"/>
        <w:jc w:val="both"/>
        <w:rPr>
          <w:rFonts w:ascii="Times New Roman" w:eastAsia="Times New Roman" w:hAnsi="Times New Roman" w:cs="Times New Roman"/>
          <w:i/>
          <w:color w:val="222222"/>
          <w:sz w:val="24"/>
          <w:szCs w:val="24"/>
          <w:highlight w:val="white"/>
        </w:rPr>
      </w:pPr>
      <w:r w:rsidRPr="00210C44">
        <w:rPr>
          <w:rFonts w:ascii="Times New Roman" w:eastAsia="Times New Roman" w:hAnsi="Times New Roman" w:cs="Times New Roman"/>
          <w:b/>
          <w:i/>
          <w:color w:val="222222"/>
          <w:sz w:val="24"/>
          <w:szCs w:val="24"/>
          <w:highlight w:val="white"/>
        </w:rPr>
        <w:t>Keywords</w:t>
      </w:r>
      <w:r w:rsidRPr="00210C44">
        <w:rPr>
          <w:rFonts w:ascii="Times New Roman" w:eastAsia="Times New Roman" w:hAnsi="Times New Roman" w:cs="Times New Roman"/>
          <w:i/>
          <w:color w:val="222222"/>
          <w:sz w:val="24"/>
          <w:szCs w:val="24"/>
          <w:highlight w:val="white"/>
        </w:rPr>
        <w:t>: Indonesian Law, Corruption, Reverse Evidence, Criminal Procedure Code, Corruption Crimes.</w:t>
      </w:r>
    </w:p>
    <w:p w14:paraId="00000010" w14:textId="77777777" w:rsidR="00342FD4" w:rsidRPr="00210C44" w:rsidRDefault="00342FD4">
      <w:pPr>
        <w:ind w:left="720" w:firstLine="720"/>
        <w:jc w:val="both"/>
        <w:rPr>
          <w:rFonts w:ascii="Times New Roman" w:eastAsia="Times New Roman" w:hAnsi="Times New Roman" w:cs="Times New Roman"/>
          <w:i/>
          <w:color w:val="222222"/>
          <w:sz w:val="24"/>
          <w:szCs w:val="24"/>
          <w:highlight w:val="white"/>
        </w:rPr>
      </w:pPr>
    </w:p>
    <w:p w14:paraId="00000011" w14:textId="77777777" w:rsidR="00342FD4" w:rsidRPr="00210C44" w:rsidRDefault="00342FD4">
      <w:pPr>
        <w:ind w:left="720" w:firstLine="720"/>
        <w:jc w:val="both"/>
        <w:rPr>
          <w:rFonts w:ascii="Times New Roman" w:eastAsia="Times New Roman" w:hAnsi="Times New Roman" w:cs="Times New Roman"/>
          <w:i/>
          <w:color w:val="222222"/>
          <w:sz w:val="24"/>
          <w:szCs w:val="24"/>
          <w:highlight w:val="white"/>
        </w:rPr>
      </w:pPr>
    </w:p>
    <w:p w14:paraId="00000012" w14:textId="77777777" w:rsidR="00342FD4" w:rsidRPr="00210C44" w:rsidRDefault="00000000">
      <w:pPr>
        <w:numPr>
          <w:ilvl w:val="0"/>
          <w:numId w:val="2"/>
        </w:numPr>
        <w:jc w:val="both"/>
        <w:rPr>
          <w:rFonts w:ascii="Times New Roman" w:eastAsia="Times New Roman" w:hAnsi="Times New Roman" w:cs="Times New Roman"/>
          <w:b/>
          <w:sz w:val="24"/>
          <w:szCs w:val="24"/>
        </w:rPr>
      </w:pPr>
      <w:r w:rsidRPr="00210C44">
        <w:rPr>
          <w:rFonts w:ascii="Times New Roman" w:eastAsia="Times New Roman" w:hAnsi="Times New Roman" w:cs="Times New Roman"/>
          <w:b/>
          <w:sz w:val="24"/>
          <w:szCs w:val="24"/>
        </w:rPr>
        <w:t>Pendahuluan</w:t>
      </w:r>
    </w:p>
    <w:p w14:paraId="00000013" w14:textId="7C826773"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 xml:space="preserve">Indonesia dikenal sebagai negara berdasarkan hukum karena memiliki kerangka hukum berbentuk undang-undang. Hal ini ditegaskan dalam Pasal 1 Ayat (3) UUD 1945. Esensi dari asas ini menunjukkan bahwa di Indonesia, hukum menjadi landasan utama dalam setiap aspek kehidupan. Dalam struktur masyarakat, hukum memiliki peranan yang dominan </w:t>
      </w:r>
      <w:sdt>
        <w:sdtPr>
          <w:rPr>
            <w:rFonts w:ascii="Times New Roman" w:eastAsia="Times New Roman" w:hAnsi="Times New Roman" w:cs="Times New Roman"/>
            <w:sz w:val="24"/>
            <w:szCs w:val="24"/>
          </w:rPr>
          <w:tag w:val="MENDELEY_CITATION_v3_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"/>
          <w:id w:val="337737248"/>
          <w:placeholder>
            <w:docPart w:val="DefaultPlaceholder_-1854013440"/>
          </w:placeholder>
        </w:sdtPr>
        <w:sdtContent>
          <w:r w:rsidR="00000820" w:rsidRPr="00210C44">
            <w:rPr>
              <w:rFonts w:ascii="Times New Roman" w:eastAsia="Times New Roman" w:hAnsi="Times New Roman" w:cs="Times New Roman"/>
            </w:rPr>
            <w:t>(Soeskandi &amp; Sekarwati, 2021)</w:t>
          </w:r>
        </w:sdtContent>
      </w:sdt>
    </w:p>
    <w:p w14:paraId="00000014"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Kehadiran hukum menciptakan rasa kepastian, dan kepastian tersebut menjadi fondasi untuk mencapai misi hukum lainnya, seperti menjaga ketertiban masyarakat. Ketika menegakkan hukum, penting untuk memastikan bahwa hukum tidak hanya memberikan rasa keadilan, tetapi juga memberikan manfaat bagi masyarakat. Proses penegakan hukum bertujuan untuk menjaga suatu norma hukum agar kepentingan individu dilindungi, dan apabila terjadi pelanggaran, dapat dicegah dengan adanya hukum pidana (Soeskandi &amp; Sekarwati, 2021)</w:t>
      </w:r>
    </w:p>
    <w:p w14:paraId="00000015" w14:textId="216BD6A1"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 xml:space="preserve">Satu dari sekian banyak permasalahan sosial di Indonesia adalah meningkatnya kasus korupsi. Keberadaan kasus-kasus korupsi ini telah menumbuhkan keraguan masyarakat terhadap keadilan hukum dan sistem peradilan pidana. Korupsi dapat bermanifestasi dalam berbagai bentuk, termasuk aksi yang mengakibatkan kerugian pada kas negara, pemberian dan penerimaan suap, penyalahgunaan jabatan, eksploitasi, kecurangan, konflik kepentingan dalam proses pengadaan, serta menerima gratifikasi </w:t>
      </w:r>
      <w:sdt>
        <w:sdtPr>
          <w:rPr>
            <w:rFonts w:ascii="Times New Roman" w:eastAsia="Times New Roman" w:hAnsi="Times New Roman" w:cs="Times New Roman"/>
            <w:color w:val="000000"/>
            <w:sz w:val="24"/>
            <w:szCs w:val="24"/>
          </w:rPr>
          <w:tag w:val="MENDELEY_CITATION_v3_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"/>
          <w:id w:val="1627817380"/>
          <w:placeholder>
            <w:docPart w:val="DefaultPlaceholder_-1854013440"/>
          </w:placeholder>
        </w:sdtPr>
        <w:sdtContent>
          <w:r w:rsidR="00000820" w:rsidRPr="00210C44">
            <w:rPr>
              <w:rFonts w:ascii="Times New Roman" w:eastAsia="Times New Roman" w:hAnsi="Times New Roman" w:cs="Times New Roman"/>
              <w:color w:val="000000"/>
              <w:sz w:val="24"/>
              <w:szCs w:val="24"/>
            </w:rPr>
            <w:t>(Nurhayani, 2015)</w:t>
          </w:r>
        </w:sdtContent>
      </w:sdt>
    </w:p>
    <w:p w14:paraId="00000016" w14:textId="281760B1"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 xml:space="preserve">Jika diterjemahkan, tindak pidana korupsi terdiri dari dua kata yaitu "tindak pidana" dan "korupsi". "Tindak pidana" adalah istilah yang berasal dari bahasa Belanda yaitu "Strafbaar Feit" atau "delict". Istilah ini merujuk pada aksi yang dilarang oleh hukum dan bagi pelakunya akan dikenai hukuman </w:t>
      </w:r>
      <w:sdt>
        <w:sdtPr>
          <w:rPr>
            <w:rFonts w:ascii="Times New Roman" w:eastAsia="Times New Roman" w:hAnsi="Times New Roman" w:cs="Times New Roman"/>
            <w:color w:val="000000"/>
            <w:sz w:val="24"/>
            <w:szCs w:val="24"/>
          </w:rPr>
          <w:tag w:val="MENDELEY_CITATION_v3_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"/>
          <w:id w:val="477585561"/>
          <w:placeholder>
            <w:docPart w:val="DefaultPlaceholder_-1854013440"/>
          </w:placeholder>
        </w:sdtPr>
        <w:sdtContent>
          <w:r w:rsidR="00000820" w:rsidRPr="00210C44">
            <w:rPr>
              <w:rFonts w:ascii="Times New Roman" w:eastAsia="Times New Roman" w:hAnsi="Times New Roman" w:cs="Times New Roman"/>
              <w:color w:val="000000"/>
              <w:sz w:val="24"/>
              <w:szCs w:val="24"/>
            </w:rPr>
            <w:t>(Tangkau, 2011)</w:t>
          </w:r>
        </w:sdtContent>
      </w:sdt>
    </w:p>
    <w:p w14:paraId="00000017"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Korupsi, dalam etimologinya, berasal dari bahasa Latin "Corruptio". Kata tersebut diambil dari "corrumpere", yang mempunyai arti menghancurkan atau memperburuk sesuatu, merubah sesuatu menjadi tak baik, mempengaruhi, atau menyesatkan. Seringkali, kata ini diasosiasikan dengan penyuapan dan perilaku yang tidak etis (Tangkau, 2011).</w:t>
      </w:r>
    </w:p>
    <w:p w14:paraId="00000018" w14:textId="568350F0"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 xml:space="preserve">Kejahatan korupsi tidak dapat dipandang sebelah mata, sebab korupsi telah bermetamorfosa menjadi suatu masalah yang sistemik dan meluas. Menariknya, banyak pejabat tinggi negara, baik di tingkat nasional maupun regional, yang terlibat di dalamnya. Faktanya, korupsi di tingkat pemerintah daerah terutama melibatkan pemimpin daerah telah mengalami kenaikan yang konsisten. Data dari Kementerian Dalam Negeri Republik Indonesia (Kemendagri RI) menunjukkan bahwa dari tahun 2004 sampai Januari 2014, sekitar 318 dari </w:t>
      </w:r>
      <w:r w:rsidRPr="00210C44">
        <w:rPr>
          <w:rFonts w:ascii="Times New Roman" w:eastAsia="Times New Roman" w:hAnsi="Times New Roman" w:cs="Times New Roman"/>
          <w:sz w:val="24"/>
          <w:szCs w:val="24"/>
        </w:rPr>
        <w:lastRenderedPageBreak/>
        <w:t xml:space="preserve">524 pejabat daerah dan wakilnya telah ditetapkan sebagai tersangka oleh instansi hukum, termasuk KPK dan Kejaksaan Agung Republik Indonesia </w:t>
      </w:r>
      <w:sdt>
        <w:sdtPr>
          <w:rPr>
            <w:rFonts w:ascii="Times New Roman" w:eastAsia="Times New Roman" w:hAnsi="Times New Roman" w:cs="Times New Roman"/>
            <w:color w:val="000000"/>
            <w:sz w:val="24"/>
            <w:szCs w:val="24"/>
          </w:rPr>
          <w:tag w:val="MENDELEY_CITATION_v3_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"/>
          <w:id w:val="109633586"/>
          <w:placeholder>
            <w:docPart w:val="DefaultPlaceholder_-1854013440"/>
          </w:placeholder>
        </w:sdtPr>
        <w:sdtContent>
          <w:r w:rsidR="00000820" w:rsidRPr="00210C44">
            <w:rPr>
              <w:rFonts w:ascii="Times New Roman" w:eastAsia="Times New Roman" w:hAnsi="Times New Roman" w:cs="Times New Roman"/>
              <w:color w:val="000000"/>
              <w:sz w:val="24"/>
              <w:szCs w:val="24"/>
            </w:rPr>
            <w:t>(Busroh, 2016)</w:t>
          </w:r>
        </w:sdtContent>
      </w:sdt>
    </w:p>
    <w:p w14:paraId="00000019" w14:textId="478861F6"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 xml:space="preserve">Dalam konteks hukum, pembuktian di bidang pidana memiliki karakteristik yang berbeda dari bidang perdata. Dalam ranah pidana, tujuannya adalah untuk menemukan kebenaran sesungguhnya dari suatu kasus. Sementara di bidang perdata, tujuan utamanya adalah menemukan kebenaran yang berdasarkan bentuk atau prosedural, di mana hakim harus berada dalam batasan permohonan yang diajukan oleh para pihak. Dengan demikian, dalam pemeriksaan perdata, hakim berfokus pada kebenaran berdasarkan bukti yang lebih dominan, sementara dalam pemeriksaan pidana, hakim harus memastikan kebenaran sesungguhnya berdasarkan bukti yang tidak dapat diragukan lagi </w:t>
      </w:r>
      <w:sdt>
        <w:sdtPr>
          <w:rPr>
            <w:rFonts w:ascii="Times New Roman" w:eastAsia="Times New Roman" w:hAnsi="Times New Roman" w:cs="Times New Roman"/>
            <w:color w:val="000000"/>
            <w:sz w:val="24"/>
            <w:szCs w:val="24"/>
          </w:rPr>
          <w:tag w:val="MENDELEY_CITATION_v3_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"/>
          <w:id w:val="591971902"/>
          <w:placeholder>
            <w:docPart w:val="DefaultPlaceholder_-1854013440"/>
          </w:placeholder>
        </w:sdtPr>
        <w:sdtContent>
          <w:r w:rsidR="00000820" w:rsidRPr="00210C44">
            <w:rPr>
              <w:rFonts w:ascii="Times New Roman" w:eastAsia="Times New Roman" w:hAnsi="Times New Roman" w:cs="Times New Roman"/>
              <w:color w:val="000000"/>
              <w:sz w:val="24"/>
              <w:szCs w:val="24"/>
            </w:rPr>
            <w:t>(Rusdiawan, 2021)</w:t>
          </w:r>
        </w:sdtContent>
      </w:sdt>
    </w:p>
    <w:p w14:paraId="0000001A"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Dalam konteks pembuktian, ada empat konsep teori utama yang dijadikan acuan, yaitu: (1) Pembuktian yang berlandaskan undang-undang (positive wettelijk bewijstheorie). (2) Pembuktian yang mendasarkan pada keyakinan pribadi hakim (conviction intime). (3) Pembuktian yang didasarkan pada pemikiran logis hakim (conviction raisonnee). (4) Pembuktian berdasarkan aspek negatif dari undang-undang (negatief wettelijk bewijs theorie) (Rusdiawan, 2023).</w:t>
      </w:r>
    </w:p>
    <w:p w14:paraId="0000001B" w14:textId="25476E4C"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 xml:space="preserve">Pasal 66 KUHAP menyatakan bahwa tersangka atau terdakwa tidak memiliki tanggung jawab dalam pembuktian. Dalam konteks ini, jaksa penuntut umum memiliki tugas utama untuk membuktikan kesalahan terdakwa. Namun, dalam kasus-kasus tertentu seperti korupsi, terdapat perbedaan dengan KUHAP. Dalam beberapa situasi, beban pembuktian dapat beralih dari jaksa penuntut umum ke terdakwa </w:t>
      </w:r>
      <w:sdt>
        <w:sdtPr>
          <w:rPr>
            <w:rFonts w:ascii="Times New Roman" w:eastAsia="Times New Roman" w:hAnsi="Times New Roman" w:cs="Times New Roman"/>
            <w:color w:val="000000"/>
            <w:sz w:val="24"/>
            <w:szCs w:val="24"/>
          </w:rPr>
          <w:tag w:val="MENDELEY_CITATION_v3_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"/>
          <w:id w:val="-1925260847"/>
          <w:placeholder>
            <w:docPart w:val="DefaultPlaceholder_-1854013440"/>
          </w:placeholder>
        </w:sdtPr>
        <w:sdtContent>
          <w:r w:rsidR="00000820" w:rsidRPr="00210C44">
            <w:rPr>
              <w:rFonts w:ascii="Times New Roman" w:eastAsia="Times New Roman" w:hAnsi="Times New Roman" w:cs="Times New Roman"/>
              <w:color w:val="000000"/>
              <w:sz w:val="24"/>
              <w:szCs w:val="24"/>
            </w:rPr>
            <w:t>(Ulfiyah, 2017)</w:t>
          </w:r>
        </w:sdtContent>
      </w:sdt>
    </w:p>
    <w:p w14:paraId="0000001C" w14:textId="1B0C9753"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 xml:space="preserve">Sejalan dengan waktu, beban pembuktian yang sebelumnya ada pada jaksa penuntut umum bergeser ke terdakwa, dimana terdakwa harus secara proaktif membuktikan bahwa dirinya tidak terlibat dalam tindak pidana korupsi. Jika terdakwa gagal membuktikan, maka terdakwa dinyatakan bersalah. Fenomena ini dikenal sebagai konsep pembalikan beban pembuktian (the reversal burden of proof) </w:t>
      </w:r>
      <w:sdt>
        <w:sdtPr>
          <w:rPr>
            <w:rFonts w:ascii="Times New Roman" w:eastAsia="Times New Roman" w:hAnsi="Times New Roman" w:cs="Times New Roman"/>
            <w:color w:val="000000"/>
            <w:sz w:val="24"/>
            <w:szCs w:val="24"/>
          </w:rPr>
          <w:tag w:val="MENDELEY_CITATION_v3_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"/>
          <w:id w:val="-1290973952"/>
          <w:placeholder>
            <w:docPart w:val="DefaultPlaceholder_-1854013440"/>
          </w:placeholder>
        </w:sdtPr>
        <w:sdtContent>
          <w:r w:rsidR="00000820" w:rsidRPr="00210C44">
            <w:rPr>
              <w:rFonts w:ascii="Times New Roman" w:eastAsia="Times New Roman" w:hAnsi="Times New Roman" w:cs="Times New Roman"/>
              <w:color w:val="000000"/>
              <w:sz w:val="24"/>
              <w:szCs w:val="24"/>
            </w:rPr>
            <w:t>(Simanjuntak, 2016)</w:t>
          </w:r>
        </w:sdtContent>
      </w:sdt>
    </w:p>
    <w:p w14:paraId="0000001D"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Dalam konteks korupsi, sistem pembuktian terbalik berarti terdakwa memegang tanggung jawab penuh untuk membuktikan ketidakbersalahannya. Misalnya, pada kasus suap atau penerimaan gratifikasi dengan nilai Rp.10.000.000,00 atau lebih, terdakwa dianggap bersalah kecuali ia dapat membuktikan ketidakbersalahannya (Ulfiyah, 2017)</w:t>
      </w:r>
    </w:p>
    <w:p w14:paraId="0000001E" w14:textId="77777777" w:rsidR="00342FD4" w:rsidRPr="00210C44" w:rsidRDefault="00342FD4">
      <w:pPr>
        <w:ind w:firstLine="720"/>
        <w:jc w:val="both"/>
        <w:rPr>
          <w:rFonts w:ascii="Times New Roman" w:eastAsia="Times New Roman" w:hAnsi="Times New Roman" w:cs="Times New Roman"/>
          <w:sz w:val="24"/>
          <w:szCs w:val="24"/>
        </w:rPr>
      </w:pPr>
    </w:p>
    <w:p w14:paraId="0000001F" w14:textId="77777777" w:rsidR="00342FD4" w:rsidRPr="00210C44" w:rsidRDefault="00000000">
      <w:pPr>
        <w:numPr>
          <w:ilvl w:val="0"/>
          <w:numId w:val="2"/>
        </w:numPr>
        <w:jc w:val="both"/>
        <w:rPr>
          <w:rFonts w:ascii="Times New Roman" w:eastAsia="Times New Roman" w:hAnsi="Times New Roman" w:cs="Times New Roman"/>
          <w:b/>
          <w:sz w:val="24"/>
          <w:szCs w:val="24"/>
        </w:rPr>
      </w:pPr>
      <w:r w:rsidRPr="00210C44">
        <w:rPr>
          <w:rFonts w:ascii="Times New Roman" w:eastAsia="Times New Roman" w:hAnsi="Times New Roman" w:cs="Times New Roman"/>
          <w:b/>
          <w:sz w:val="24"/>
          <w:szCs w:val="24"/>
        </w:rPr>
        <w:t>Metode</w:t>
      </w:r>
    </w:p>
    <w:p w14:paraId="00000020" w14:textId="277A632D"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 xml:space="preserve">Studi ini memakai metode kualitatif, berdasarkan pada teknik hukum normatif </w:t>
      </w:r>
      <w:sdt>
        <w:sdtPr>
          <w:rPr>
            <w:rFonts w:ascii="Times New Roman" w:eastAsia="Times New Roman" w:hAnsi="Times New Roman" w:cs="Times New Roman"/>
            <w:sz w:val="24"/>
            <w:szCs w:val="24"/>
          </w:rPr>
          <w:tag w:val="MENDELEY_CITATION_v3_eyJjaXRhdGlvbklEIjoiTUVOREVMRVlfQ0lUQVRJT05fNDYzZTdlNjQtMTk5OC00MDZiLWJhOGUtOWE4NjI2M2FlM2M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890071991"/>
          <w:placeholder>
            <w:docPart w:val="DefaultPlaceholder_-1854013440"/>
          </w:placeholder>
        </w:sdtPr>
        <w:sdtContent>
          <w:r w:rsidR="00000820" w:rsidRPr="00210C44">
            <w:rPr>
              <w:rFonts w:ascii="Times New Roman" w:eastAsia="Times New Roman" w:hAnsi="Times New Roman" w:cs="Times New Roman"/>
            </w:rPr>
            <w:t>(Robbani &amp; Yuliana, 2022)</w:t>
          </w:r>
        </w:sdtContent>
      </w:sdt>
      <w:r w:rsidRPr="00210C44">
        <w:rPr>
          <w:rFonts w:ascii="Times New Roman" w:eastAsia="Times New Roman" w:hAnsi="Times New Roman" w:cs="Times New Roman"/>
          <w:sz w:val="24"/>
          <w:szCs w:val="24"/>
        </w:rPr>
        <w:t xml:space="preserve"> Data yang dikumpulkan bersifat deskriptif, yang mencakup sumber dari dokumen tertulis dan informasi yang didapat melalui wawancara serta observasi pada responden.</w:t>
      </w:r>
    </w:p>
    <w:p w14:paraId="00000021" w14:textId="0DCE7F52"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 xml:space="preserve">Menggunakan pendekatan hukum normatif, tujuan penelitian ini adalah untuk meninjau serta mendeskripsikan kerangka hukum yang ada, prinsip-prinsip dasarnya, susunan hukum, dan menguji sejauh mana konsistensi penerapannya pada berbagai tingkatan </w:t>
      </w:r>
      <w:sdt>
        <w:sdtPr>
          <w:rPr>
            <w:rFonts w:ascii="Times New Roman" w:eastAsia="Times New Roman" w:hAnsi="Times New Roman" w:cs="Times New Roman"/>
            <w:sz w:val="24"/>
            <w:szCs w:val="24"/>
          </w:rPr>
          <w:tag w:val="MENDELEY_CITATION_v3_eyJjaXRhdGlvbklEIjoiTUVOREVMRVlfQ0lUQVRJT05fMzZkMWZiZGUtMDkwMy00Y2M0LThmM2YtYjk4YzU2NzY3Yjky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458848423"/>
          <w:placeholder>
            <w:docPart w:val="DefaultPlaceholder_-1854013440"/>
          </w:placeholder>
        </w:sdtPr>
        <w:sdtContent>
          <w:r w:rsidR="00000820" w:rsidRPr="00210C44">
            <w:rPr>
              <w:rFonts w:ascii="Times New Roman" w:eastAsia="Times New Roman" w:hAnsi="Times New Roman" w:cs="Times New Roman"/>
            </w:rPr>
            <w:t>(Putranto &amp; Harvelian, 2023)</w:t>
          </w:r>
        </w:sdtContent>
      </w:sdt>
    </w:p>
    <w:p w14:paraId="00000022" w14:textId="366C699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 xml:space="preserve">Dalam cakupan studi yang berorientasi literatur, literasi menjadi elemen kunci. Pilihan untuk mengutamakan literatur didasari oleh kemudahan akses ke berbagai sumber literatur, termasuk buku, publikasi ilmiah, dan literatur lain yang mendukung. Pendekatan yang berfokus pada regulasi diterapkan untuk meneliti setiap norma yang terkait dengan isu hukum yang </w:t>
      </w:r>
      <w:r w:rsidRPr="00210C44">
        <w:rPr>
          <w:rFonts w:ascii="Times New Roman" w:eastAsia="Times New Roman" w:hAnsi="Times New Roman" w:cs="Times New Roman"/>
          <w:sz w:val="24"/>
          <w:szCs w:val="24"/>
        </w:rPr>
        <w:lastRenderedPageBreak/>
        <w:t xml:space="preserve">sedang dibahas, khususnya mengenai pembuktian terbalik dalam tindak pidana korupsi </w:t>
      </w:r>
      <w:sdt>
        <w:sdtPr>
          <w:rPr>
            <w:rFonts w:ascii="Times New Roman" w:eastAsia="Times New Roman" w:hAnsi="Times New Roman" w:cs="Times New Roman"/>
            <w:color w:val="000000"/>
            <w:sz w:val="24"/>
            <w:szCs w:val="24"/>
          </w:rPr>
          <w:tag w:val="MENDELEY_CITATION_v3_eyJjaXRhdGlvbklEIjoiTUVOREVMRVlfQ0lUQVRJT05fM2JiMmFkMWYtYWQzZS00N2NlLTlmZjQtNjg1Y2IyNmQ5YzA4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86433166"/>
          <w:placeholder>
            <w:docPart w:val="DefaultPlaceholder_-1854013440"/>
          </w:placeholder>
        </w:sdtPr>
        <w:sdtContent>
          <w:r w:rsidR="00000820" w:rsidRPr="00210C44">
            <w:rPr>
              <w:rFonts w:ascii="Times New Roman" w:eastAsia="Times New Roman" w:hAnsi="Times New Roman" w:cs="Times New Roman"/>
              <w:color w:val="000000"/>
              <w:sz w:val="24"/>
              <w:szCs w:val="24"/>
            </w:rPr>
            <w:t>(Dames Lewansorna et al., 2022)</w:t>
          </w:r>
        </w:sdtContent>
      </w:sdt>
    </w:p>
    <w:p w14:paraId="00000023" w14:textId="1ADE1DED"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 xml:space="preserve">Selama proses penelitian, referensi hukum dibagi menjadi dua kategori: primer dan sekunder. Sumber primer terdiri dari dokumen resmi yang dikeluarkan oleh entitas pemerintah yang berwenang serta dokumen dengan keberlakuan hukum (Irawan, 2020). Meski sumber sekunder tidak memiliki keotoritasan setinggi sumber primer, namun tetap dianggap penting sebagai informasi pelengkap dari sumber primer </w:t>
      </w:r>
      <w:sdt>
        <w:sdtPr>
          <w:rPr>
            <w:rFonts w:ascii="Times New Roman" w:eastAsia="Times New Roman" w:hAnsi="Times New Roman" w:cs="Times New Roman"/>
            <w:color w:val="000000"/>
            <w:sz w:val="24"/>
            <w:szCs w:val="24"/>
          </w:rPr>
          <w:tag w:val="MENDELEY_CITATION_v3_eyJjaXRhdGlvbklEIjoiTUVOREVMRVlfQ0lUQVRJT05fMzhlZWFiNmUtNmJhOC00NzZhLWFkYTgtN2E0YzMxNDQwMWM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880588886"/>
          <w:placeholder>
            <w:docPart w:val="DefaultPlaceholder_-1854013440"/>
          </w:placeholder>
        </w:sdtPr>
        <w:sdtContent>
          <w:r w:rsidR="00000820" w:rsidRPr="00210C44">
            <w:rPr>
              <w:rFonts w:ascii="Times New Roman" w:eastAsia="Times New Roman" w:hAnsi="Times New Roman" w:cs="Times New Roman"/>
              <w:color w:val="000000"/>
              <w:sz w:val="24"/>
              <w:szCs w:val="24"/>
            </w:rPr>
            <w:t>(Irawan, 2020)</w:t>
          </w:r>
        </w:sdtContent>
      </w:sdt>
      <w:r w:rsidRPr="00210C44">
        <w:rPr>
          <w:rFonts w:ascii="Times New Roman" w:eastAsia="Times New Roman" w:hAnsi="Times New Roman" w:cs="Times New Roman"/>
          <w:sz w:val="24"/>
          <w:szCs w:val="24"/>
        </w:rPr>
        <w:t xml:space="preserve"> Teknik riset berdasarkan literatur digunakan dalam penggalian data, sedangkan metode analisis kualitatif diaplikasikan untuk menginterpretasi serta mengungkapkan hasil temuan (Dames Lewansorna et al., 2022)</w:t>
      </w:r>
    </w:p>
    <w:p w14:paraId="00000024" w14:textId="77777777" w:rsidR="00342FD4" w:rsidRPr="00210C44" w:rsidRDefault="00342FD4">
      <w:pPr>
        <w:ind w:firstLine="720"/>
        <w:jc w:val="both"/>
        <w:rPr>
          <w:rFonts w:ascii="Times New Roman" w:eastAsia="Times New Roman" w:hAnsi="Times New Roman" w:cs="Times New Roman"/>
          <w:sz w:val="24"/>
          <w:szCs w:val="24"/>
        </w:rPr>
      </w:pPr>
    </w:p>
    <w:p w14:paraId="00000025" w14:textId="77777777" w:rsidR="00342FD4" w:rsidRPr="00210C44" w:rsidRDefault="00000000">
      <w:pPr>
        <w:numPr>
          <w:ilvl w:val="0"/>
          <w:numId w:val="2"/>
        </w:numPr>
        <w:jc w:val="both"/>
        <w:rPr>
          <w:rFonts w:ascii="Times New Roman" w:eastAsia="Times New Roman" w:hAnsi="Times New Roman" w:cs="Times New Roman"/>
          <w:b/>
          <w:sz w:val="24"/>
          <w:szCs w:val="24"/>
        </w:rPr>
      </w:pPr>
      <w:r w:rsidRPr="00210C44">
        <w:rPr>
          <w:rFonts w:ascii="Times New Roman" w:eastAsia="Times New Roman" w:hAnsi="Times New Roman" w:cs="Times New Roman"/>
          <w:b/>
          <w:sz w:val="24"/>
          <w:szCs w:val="24"/>
        </w:rPr>
        <w:t>Pembahasan</w:t>
      </w:r>
    </w:p>
    <w:p w14:paraId="00000026"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b/>
          <w:sz w:val="24"/>
          <w:szCs w:val="24"/>
        </w:rPr>
        <w:t>Hasil</w:t>
      </w:r>
    </w:p>
    <w:p w14:paraId="00000027"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Pengadilan khusus yang menangani Tindak Pidana Korupsi (Tipikor) beroperasi dalam kerangka pengadilan umum dan kini berada di tiap ibu kota provinsi. Dasar pembentukannya adalah Undang-Undang Nomor 46 Tahun 2009 mengenai Pengadilan Tindak Pidana Korupsi yang diberlakukan pada tanggal 29 Oktober 2009. Sebelum adanya regulasi ini dan berdasarkan keputusan dari Mahkamah Konstitusi, kasus korupsi yang ditangani oleh Komisi Pemberantasan Korupsi (KPK) disidangkan di Pengadilan Khusus Korupsi yang awalnya berada di Pengadilan Negeri Jakarta Pusat, namun memiliki yurisdiksi atas seluruh wilayah Indonesia (Ulfiyah, 2017)</w:t>
      </w:r>
    </w:p>
    <w:p w14:paraId="00000028"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Tahapan pembuktian di pengadilan dalam konteks hukum pidana sangat esensial, khususnya selama sidang perkara pidana. Melalui proses pembuktian, terdapat mekanisme tertentu untuk menentukan kesalahan terdakwa atas dakwaan yang diberikan di sidang. Oleh karena itu, pembuktian mengacu pada serangkaian aturan yang memberikan panduan mengenai cara sah yang diizinkan oleh undang-undang untuk menentukan kesalahan seorang terdakwa dan jenis bukti yang dapat digunakan oleh hakim dalam prosesnya (Busroh, 2016)</w:t>
      </w:r>
    </w:p>
    <w:p w14:paraId="00000029"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Ketika suatu kasus pidana mencapai tahap pemeriksaan di pengadilan, proses pembuktian menjadi krusial. Tujuannya adalah untuk menentukan apakah terdakwa memang terbukti bersalah atas dakwaan yang diberikan kepadanya (Busroh, 2016)</w:t>
      </w:r>
    </w:p>
    <w:p w14:paraId="0000002A"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Dari perspektif teoritis, terdapat empat konsep teori pembuktian, yakni: (1) Pembuktian sesuai dengan undang-undang (positive wettelijk bewijstheorie). (2) Pembuktian yang hanya berlandaskan pada keyakinan pribadi hakim (conviction intime). (3) Pembuktian yang berdasar pada logika dan keyakinan hakim (conviction raisonnee) dan (4) Pembuktian menurut undang-undang dari sisi negatif (negatief wettelijk bewijs theorie) (Rusdiawan, 2023)</w:t>
      </w:r>
    </w:p>
    <w:p w14:paraId="0000002B" w14:textId="77777777" w:rsidR="00342FD4" w:rsidRPr="00210C44" w:rsidRDefault="00342FD4">
      <w:pPr>
        <w:ind w:left="720"/>
        <w:jc w:val="both"/>
        <w:rPr>
          <w:rFonts w:ascii="Times New Roman" w:eastAsia="Times New Roman" w:hAnsi="Times New Roman" w:cs="Times New Roman"/>
          <w:sz w:val="24"/>
          <w:szCs w:val="24"/>
        </w:rPr>
      </w:pPr>
    </w:p>
    <w:p w14:paraId="0000002C"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b/>
          <w:sz w:val="24"/>
          <w:szCs w:val="24"/>
        </w:rPr>
        <w:t>Pembahasan</w:t>
      </w:r>
    </w:p>
    <w:p w14:paraId="0000002D"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KUHAP menganut suatu sistem pembuktian berdasarkan undang-undang dengan pendekatan negatif. Meskipun didukung oleh prinsip kebebasan hakim, dalam praktiknya, metode pembuktian yang dijalankan cenderung bersifat positif menurut undang-undang. Salah satu alasannya adalah penafsiran keyakinan yang tercantum dalam Pasal 183 KUHAP tidak selalu diterjemahkan secara ketat (Rusdiawan, 2023). Adapun alat bukti sah sesuai dengan Pasal 184 KUHAP mencakup: a. Kesaksian b. Pendapat ahli c. Dokumen d. Bukti petunjuk e. Kesaksian terdakwa.</w:t>
      </w:r>
    </w:p>
    <w:p w14:paraId="0000002E"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lastRenderedPageBreak/>
        <w:t>"Pembuktian Terbalik" mempunyai karakteristik yang membedakannya dari metode pembuktian tradisional dalam Kitab Undang-Undang Hukum Acara Pidana. Dalam metode ini, terdakwa diberikan tugas untuk menunjukkan ketidakbersalahan mereka atau dengan kata lain, menyangkal tuntutan yang diajukan oleh Penuntut Umum (Rusdiawan, 2023)</w:t>
      </w:r>
    </w:p>
    <w:p w14:paraId="0000002F"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Dengan sistem pembuktian terbalik, terdakwa diberikan kesempatan emas untuk menunjukkan ketidakbersalahannya. Pilihan berada di tangan terdakwa, apakah mereka ingin menggunakan hak ini atau tidak, dan setiap pilihan pasti memiliki implikasinya. Jika memilih untuk menerapkan sistem ini, terdakwa harus menyediakan informasi mengenai seluruh kekayaannya, kekayaan pasangannya, atau aset dari individu atau entitas yang mungkin terkait dengan kasus yang sedang diperiksa. Kewajiban ini menunjukkan pergeseran dari norma KUHAP yang biasanya menugaskan penuntut umum untuk membuktikan pelanggaran hukum, bukan terdakwa. Menurut metode ini, terdakwa dapat memberikan bukti bahwa mereka tidak terlibat dalam kasus korupsi atau menerima suap (Ulfiyah, 2017)</w:t>
      </w:r>
    </w:p>
    <w:p w14:paraId="00000030"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Selain itu, terdakwa juga harus menjelaskan sumber dari kekayaannya atau bagaimana mereka memperoleh atau melepaskan hak atas aset pribadi, kekayaan anggota keluarganya, atau entitas lain yang diduga terkait dengan kasus korupsi. Informasi mengenai waktu, cara, dan pihak yang terlibat dalam transaksi tersebut serta alasan mengapa transaksi itu terjadi harus diungkapkan. Dalam konteks pembelaan, pendekatan ini dapat menguntungkan atau merugikan posisi terdakwa (Ulfiyah, 2017)</w:t>
      </w:r>
    </w:p>
    <w:p w14:paraId="00000031"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Konsep 'pembalikan beban pembuktian' bukanlah bagian dari KUHAP. Namun, di Indonesia, prinsip ini ditemukan dalam Perundang-Undangan No.25 Tahun 2003 bersama dengan Perundang-Undangan No. 8 Tahun 2010 yang berkaitan dengan Pencegahan dan Pemberantasan Tindak Pidana Pencucian Uang, serta Perundang-Undangan No. 20 Tahun 2001 yang mengatur Pemberantasan Tindak Pidana Korupsi. Khusus dalam konteks tindak pidana pencucian uang, seperti yang ditetapkan dalam Perundang-Undangan No. 8 Tahun 2010, Pasal 77 UU TPPU menjelaskan bahwa selama proses peradilan, tersangka diharuskan membuktikan bahwa asetnya tidak berasal dari tindak pidana. Lebih lanjut, berdasarkan Pasal 78 Ayat (1) UU TPPU, hakim dapat memerintahkan terdakwa untuk memberikan bukti bahwa aset yang diperiksa dalam kasus tersebut tidak didapatkan dari kejahatan sebagaimana dijelaskan dalam Pasal 2 Ayat (Ulfiyah, 2017)</w:t>
      </w:r>
    </w:p>
    <w:p w14:paraId="00000032"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Menurut Pasal 35 dari Perundang-Undangan No. 15 Tahun 2002 yang dikuatkan dengan Perundang-Undangan No.25 Tahun 2003 mengenai Pencegahan dan Pemberantasan Tindak Pidana Pencucian Uang, selama sidang pengadilan, terdakwa memiliki tanggung jawab untuk menunjukkan bahwa kekayaannya bukanlah hasil dari aktivitas kriminal.</w:t>
      </w:r>
    </w:p>
    <w:p w14:paraId="00000033" w14:textId="77777777" w:rsidR="00342FD4" w:rsidRPr="00210C44" w:rsidRDefault="00000000">
      <w:pPr>
        <w:ind w:firstLine="720"/>
        <w:jc w:val="both"/>
        <w:rPr>
          <w:rFonts w:ascii="Times New Roman" w:eastAsia="Times New Roman" w:hAnsi="Times New Roman" w:cs="Times New Roman"/>
          <w:sz w:val="24"/>
          <w:szCs w:val="24"/>
        </w:rPr>
      </w:pPr>
      <w:r w:rsidRPr="00210C44">
        <w:rPr>
          <w:rFonts w:ascii="Times New Roman" w:eastAsia="Times New Roman" w:hAnsi="Times New Roman" w:cs="Times New Roman"/>
          <w:sz w:val="24"/>
          <w:szCs w:val="24"/>
        </w:rPr>
        <w:t>Pasal 77 dari Perundang-Undangan No. 8 Tahun 2010 mengklarifikasi bahwa dalam sidang pengadilan, terdakwa harus memperlihatkan bahwa aset yang dimilikinya tidak merupakan hasil dari tindak pidana. Sejalan dengan itu, Pasal 78 Ayat (1) menegaskan bahwa jika pemeriksaan di sidang sesuai dengan yang ditetapkan di Pasal 77, maka hakim dapat meminta terdakwa untuk menghadirkan bukti bahwa aset yang menjadi objek kasus tidak berasal dari kegiatan ilegal (Soeskandi &amp; Sekarwati, 2021)</w:t>
      </w:r>
    </w:p>
    <w:p w14:paraId="00000034" w14:textId="77777777" w:rsidR="00342FD4" w:rsidRPr="00210C44" w:rsidRDefault="00342FD4">
      <w:pPr>
        <w:ind w:left="720"/>
        <w:jc w:val="both"/>
        <w:rPr>
          <w:rFonts w:ascii="Times New Roman" w:eastAsia="Times New Roman" w:hAnsi="Times New Roman" w:cs="Times New Roman"/>
          <w:sz w:val="24"/>
          <w:szCs w:val="24"/>
        </w:rPr>
      </w:pPr>
    </w:p>
    <w:p w14:paraId="00000035" w14:textId="77777777" w:rsidR="00342FD4" w:rsidRPr="00210C44" w:rsidRDefault="00000000">
      <w:pPr>
        <w:numPr>
          <w:ilvl w:val="0"/>
          <w:numId w:val="2"/>
        </w:numPr>
        <w:jc w:val="both"/>
        <w:rPr>
          <w:rFonts w:ascii="Times New Roman" w:eastAsia="Times New Roman" w:hAnsi="Times New Roman" w:cs="Times New Roman"/>
          <w:b/>
          <w:sz w:val="24"/>
          <w:szCs w:val="24"/>
        </w:rPr>
      </w:pPr>
      <w:r w:rsidRPr="00210C44">
        <w:rPr>
          <w:rFonts w:ascii="Times New Roman" w:eastAsia="Times New Roman" w:hAnsi="Times New Roman" w:cs="Times New Roman"/>
          <w:b/>
          <w:sz w:val="24"/>
          <w:szCs w:val="24"/>
        </w:rPr>
        <w:t>Penutup</w:t>
      </w:r>
    </w:p>
    <w:p w14:paraId="00000036" w14:textId="77777777" w:rsidR="00342FD4" w:rsidRPr="00210C44" w:rsidRDefault="00000000">
      <w:pPr>
        <w:ind w:left="72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b/>
          <w:sz w:val="24"/>
          <w:szCs w:val="24"/>
        </w:rPr>
        <w:t>Kesimpulan</w:t>
      </w:r>
    </w:p>
    <w:p w14:paraId="00000037" w14:textId="77777777" w:rsidR="00342FD4" w:rsidRPr="00210C44" w:rsidRDefault="00000000">
      <w:pPr>
        <w:ind w:firstLine="72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color w:val="222222"/>
          <w:sz w:val="24"/>
          <w:szCs w:val="24"/>
          <w:highlight w:val="white"/>
        </w:rPr>
        <w:t>Kesimpulan</w:t>
      </w:r>
    </w:p>
    <w:p w14:paraId="00000038" w14:textId="77777777" w:rsidR="00342FD4" w:rsidRPr="00210C44" w:rsidRDefault="00000000">
      <w:pPr>
        <w:ind w:firstLine="72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color w:val="222222"/>
          <w:sz w:val="24"/>
          <w:szCs w:val="24"/>
          <w:highlight w:val="white"/>
        </w:rPr>
        <w:lastRenderedPageBreak/>
        <w:t>Indonesia merupakan negara yang memiliki fondasi hukum yang kuat dan berprinsip pada keadilan dan kepastian hukum bagi rakyatnya. Dalam konteks tindak pidana korupsi, permasalahan yang muncul bukan hanya sebatas pada tindakan koruptif itu sendiri, tetapi juga pada bagaimana proses hukum menangani dan memeriksa kasus-kasus tersebut. Penelitian ini menunjukkan bahwa dalam proses pembuktian tindak pidana korupsi di Indonesia, terdapat konsep "Pembuktian Terbalik" dimana beban pembuktian beralih dari jaksa penuntut umum ke terdakwa. Fenomena ini menimbulkan perdebatan hukum dan etika, mengingat prinsip hukum yang mendasari bahwa setiap individu dianggap tidak bersalah sampai terbukti sebaliknya. Namun, dalam konteks korupsi, konsep ini diperkenalkan sebagai upaya meningkatkan efektivitas penegakan hukum dan memberantas korupsi yang semakin merajalela.</w:t>
      </w:r>
    </w:p>
    <w:p w14:paraId="00000039" w14:textId="77777777" w:rsidR="00342FD4" w:rsidRPr="00210C44" w:rsidRDefault="00000000">
      <w:pPr>
        <w:ind w:firstLine="72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color w:val="222222"/>
          <w:sz w:val="24"/>
          <w:szCs w:val="24"/>
          <w:highlight w:val="white"/>
        </w:rPr>
        <w:t>Dalam praktiknya, pembuktian terbalik mengharuskan terdakwa untuk secara aktif membuktikan ketidakbersalahannya, khususnya dalam kasus suap atau penerimaan gratifikasi dengan nilai tertentu. Hal ini tentu menjadi tantangan tersendiri bagi terdakwa, mengingat beban bukti yang dulu berada di tangan jaksa kini berada di tangan mereka. Namun, di sisi lain, konsep ini memberikan peluang lebih besar bagi jaksa dan penegak hukum lainnya untuk menuntut pertanggungjawaban pelaku korupsi.</w:t>
      </w:r>
    </w:p>
    <w:p w14:paraId="0000003A" w14:textId="77777777" w:rsidR="00342FD4" w:rsidRPr="00210C44" w:rsidRDefault="00342FD4">
      <w:pPr>
        <w:ind w:firstLine="720"/>
        <w:jc w:val="both"/>
        <w:rPr>
          <w:rFonts w:ascii="Times New Roman" w:eastAsia="Times New Roman" w:hAnsi="Times New Roman" w:cs="Times New Roman"/>
          <w:color w:val="222222"/>
          <w:sz w:val="24"/>
          <w:szCs w:val="24"/>
          <w:highlight w:val="white"/>
        </w:rPr>
      </w:pPr>
    </w:p>
    <w:p w14:paraId="0000003B" w14:textId="77777777" w:rsidR="00342FD4" w:rsidRPr="00210C44" w:rsidRDefault="00000000">
      <w:pPr>
        <w:ind w:firstLine="720"/>
        <w:jc w:val="both"/>
        <w:rPr>
          <w:rFonts w:ascii="Times New Roman" w:eastAsia="Times New Roman" w:hAnsi="Times New Roman" w:cs="Times New Roman"/>
          <w:b/>
          <w:color w:val="222222"/>
          <w:sz w:val="24"/>
          <w:szCs w:val="24"/>
          <w:highlight w:val="white"/>
        </w:rPr>
      </w:pPr>
      <w:r w:rsidRPr="00210C44">
        <w:rPr>
          <w:rFonts w:ascii="Times New Roman" w:eastAsia="Times New Roman" w:hAnsi="Times New Roman" w:cs="Times New Roman"/>
          <w:b/>
          <w:color w:val="222222"/>
          <w:sz w:val="24"/>
          <w:szCs w:val="24"/>
          <w:highlight w:val="white"/>
        </w:rPr>
        <w:t>Saran</w:t>
      </w:r>
    </w:p>
    <w:p w14:paraId="0000003C" w14:textId="77777777" w:rsidR="00342FD4" w:rsidRPr="00210C44" w:rsidRDefault="00000000">
      <w:pPr>
        <w:ind w:firstLine="72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color w:val="222222"/>
          <w:sz w:val="24"/>
          <w:szCs w:val="24"/>
          <w:highlight w:val="white"/>
        </w:rPr>
        <w:t>Mengingat kompleksitas dan sensitivitas isu pembuktian terbalik dalam tindak pidana korupsi, ada beberapa saran yang dapat diajukan:</w:t>
      </w:r>
    </w:p>
    <w:p w14:paraId="0000003D" w14:textId="77777777" w:rsidR="00342FD4" w:rsidRPr="00210C44" w:rsidRDefault="00000000">
      <w:pPr>
        <w:numPr>
          <w:ilvl w:val="0"/>
          <w:numId w:val="1"/>
        </w:numPr>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color w:val="222222"/>
          <w:sz w:val="24"/>
          <w:szCs w:val="24"/>
          <w:highlight w:val="white"/>
        </w:rPr>
        <w:t>Penguatan Regulasi: Meskipun konsep pembuktian terbalik telah diterapkan, pemerintah dan lembaga hukum sebaiknya meninjau kembali penerapan konsep ini, terutama dalam hal perlindungan hak-hak terdakwa. Adanya regulasi yang jelas dan rinci mengenai penerapan pembuktian terbalik dapat membantu memberikan kejelasan dan kepastian hukum bagi semua pihak yang terlibat.</w:t>
      </w:r>
    </w:p>
    <w:p w14:paraId="0000003E" w14:textId="77777777" w:rsidR="00342FD4" w:rsidRPr="00210C44" w:rsidRDefault="00000000">
      <w:pPr>
        <w:numPr>
          <w:ilvl w:val="0"/>
          <w:numId w:val="1"/>
        </w:numPr>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color w:val="222222"/>
          <w:sz w:val="24"/>
          <w:szCs w:val="24"/>
          <w:highlight w:val="white"/>
        </w:rPr>
        <w:t>Edukasi Masyarakat: Mengingat konsep ini cukup baru dan berbeda dari prinsip hukum konvensional, edukasi kepada masyarakat sangat diperlukan. Pemahaman yang benar mengenai konsep ini dapat membantu masyarakat dalam menghadapi proses hukum terkait tindak pidana korupsi dan memberikan kesempatan bagi mereka untuk mempersiapkan diri dengan baik jika terlibat dalam kasus serupa.</w:t>
      </w:r>
    </w:p>
    <w:p w14:paraId="0000003F" w14:textId="77777777" w:rsidR="00342FD4" w:rsidRPr="00210C44" w:rsidRDefault="00342FD4">
      <w:pPr>
        <w:ind w:firstLine="720"/>
        <w:jc w:val="both"/>
        <w:rPr>
          <w:rFonts w:ascii="Times New Roman" w:eastAsia="Times New Roman" w:hAnsi="Times New Roman" w:cs="Times New Roman"/>
          <w:color w:val="222222"/>
          <w:sz w:val="24"/>
          <w:szCs w:val="24"/>
          <w:highlight w:val="white"/>
        </w:rPr>
      </w:pPr>
    </w:p>
    <w:p w14:paraId="00000040" w14:textId="77777777" w:rsidR="00342FD4" w:rsidRPr="00210C44" w:rsidRDefault="00000000">
      <w:pPr>
        <w:ind w:firstLine="72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color w:val="222222"/>
          <w:sz w:val="24"/>
          <w:szCs w:val="24"/>
          <w:highlight w:val="white"/>
        </w:rPr>
        <w:t>Dengan saran-saran di atas, diharapkan konsep pembuktian terbalik dalam tindak pidana korupsi di Indonesia dapat diterapkan dengan lebih efektif dan adil bagi semua pihak yang terlibat.</w:t>
      </w:r>
    </w:p>
    <w:p w14:paraId="00000041" w14:textId="77777777" w:rsidR="00342FD4" w:rsidRPr="00210C44" w:rsidRDefault="00342FD4">
      <w:pPr>
        <w:ind w:firstLine="720"/>
        <w:jc w:val="both"/>
        <w:rPr>
          <w:rFonts w:ascii="Times New Roman" w:eastAsia="Times New Roman" w:hAnsi="Times New Roman" w:cs="Times New Roman"/>
          <w:color w:val="222222"/>
          <w:sz w:val="24"/>
          <w:szCs w:val="24"/>
          <w:highlight w:val="white"/>
        </w:rPr>
      </w:pPr>
    </w:p>
    <w:p w14:paraId="00000042" w14:textId="77777777" w:rsidR="00342FD4" w:rsidRPr="00210C44" w:rsidRDefault="00342FD4">
      <w:pPr>
        <w:ind w:firstLine="720"/>
        <w:jc w:val="both"/>
        <w:rPr>
          <w:rFonts w:ascii="Times New Roman" w:eastAsia="Times New Roman" w:hAnsi="Times New Roman" w:cs="Times New Roman"/>
          <w:color w:val="222222"/>
          <w:sz w:val="24"/>
          <w:szCs w:val="24"/>
          <w:highlight w:val="white"/>
        </w:rPr>
      </w:pPr>
    </w:p>
    <w:p w14:paraId="00000043" w14:textId="77777777" w:rsidR="00342FD4" w:rsidRPr="00210C44" w:rsidRDefault="00342FD4">
      <w:pPr>
        <w:ind w:firstLine="720"/>
        <w:jc w:val="both"/>
        <w:rPr>
          <w:rFonts w:ascii="Times New Roman" w:eastAsia="Times New Roman" w:hAnsi="Times New Roman" w:cs="Times New Roman"/>
          <w:color w:val="222222"/>
          <w:sz w:val="24"/>
          <w:szCs w:val="24"/>
          <w:highlight w:val="white"/>
        </w:rPr>
      </w:pPr>
    </w:p>
    <w:p w14:paraId="00000044" w14:textId="77777777" w:rsidR="00342FD4" w:rsidRPr="00210C44" w:rsidRDefault="00000000">
      <w:pPr>
        <w:spacing w:before="2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877700161"/>
        <w:placeholder>
          <w:docPart w:val="DefaultPlaceholder_-1854013440"/>
        </w:placeholder>
      </w:sdtPr>
      <w:sdtContent>
        <w:p w14:paraId="2D9E6C71" w14:textId="77777777" w:rsidR="00000820" w:rsidRPr="00210C44" w:rsidRDefault="00000820">
          <w:pPr>
            <w:autoSpaceDE w:val="0"/>
            <w:autoSpaceDN w:val="0"/>
            <w:ind w:hanging="480"/>
            <w:divId w:val="2113671709"/>
            <w:rPr>
              <w:rFonts w:ascii="Times New Roman" w:eastAsia="Times New Roman" w:hAnsi="Times New Roman" w:cs="Times New Roman"/>
              <w:sz w:val="24"/>
              <w:szCs w:val="24"/>
            </w:rPr>
          </w:pPr>
          <w:r w:rsidRPr="00210C44">
            <w:rPr>
              <w:rFonts w:ascii="Times New Roman" w:eastAsia="Times New Roman" w:hAnsi="Times New Roman" w:cs="Times New Roman"/>
            </w:rPr>
            <w:t xml:space="preserve">Busroh, H. F. F. (2016). PEMBUKTIAN TERBALIK DALAM TINDAK PIDANA KORUPSI. </w:t>
          </w:r>
          <w:r w:rsidRPr="00210C44">
            <w:rPr>
              <w:rFonts w:ascii="Times New Roman" w:eastAsia="Times New Roman" w:hAnsi="Times New Roman" w:cs="Times New Roman"/>
              <w:i/>
              <w:iCs/>
            </w:rPr>
            <w:t>Jurnal Hukum To-Ra</w:t>
          </w:r>
          <w:r w:rsidRPr="00210C44">
            <w:rPr>
              <w:rFonts w:ascii="Times New Roman" w:eastAsia="Times New Roman" w:hAnsi="Times New Roman" w:cs="Times New Roman"/>
            </w:rPr>
            <w:t xml:space="preserve">, </w:t>
          </w:r>
          <w:r w:rsidRPr="00210C44">
            <w:rPr>
              <w:rFonts w:ascii="Times New Roman" w:eastAsia="Times New Roman" w:hAnsi="Times New Roman" w:cs="Times New Roman"/>
              <w:i/>
              <w:iCs/>
            </w:rPr>
            <w:t>2</w:t>
          </w:r>
          <w:r w:rsidRPr="00210C44">
            <w:rPr>
              <w:rFonts w:ascii="Times New Roman" w:eastAsia="Times New Roman" w:hAnsi="Times New Roman" w:cs="Times New Roman"/>
            </w:rPr>
            <w:t>(2). http://www.kemendagri.go.id/</w:t>
          </w:r>
        </w:p>
        <w:p w14:paraId="31B2E725" w14:textId="77777777" w:rsidR="00000820" w:rsidRPr="00210C44" w:rsidRDefault="00000820">
          <w:pPr>
            <w:autoSpaceDE w:val="0"/>
            <w:autoSpaceDN w:val="0"/>
            <w:ind w:hanging="480"/>
            <w:divId w:val="2127120109"/>
            <w:rPr>
              <w:rFonts w:ascii="Times New Roman" w:eastAsia="Times New Roman" w:hAnsi="Times New Roman" w:cs="Times New Roman"/>
            </w:rPr>
          </w:pPr>
          <w:r w:rsidRPr="00210C44">
            <w:rPr>
              <w:rFonts w:ascii="Times New Roman" w:eastAsia="Times New Roman" w:hAnsi="Times New Roman" w:cs="Times New Roman"/>
            </w:rPr>
            <w:t xml:space="preserve">Dames Lewansorna, Rina, E., Toule, M., &amp; Sopacua, M. (2022). </w:t>
          </w:r>
          <w:r w:rsidRPr="00210C44">
            <w:rPr>
              <w:rFonts w:ascii="Times New Roman" w:eastAsia="Times New Roman" w:hAnsi="Times New Roman" w:cs="Times New Roman"/>
              <w:i/>
              <w:iCs/>
            </w:rPr>
            <w:t>Pertanggungjawaban Pidana Aparat Kepolisian Yang Melakukan Kekerasan Terhadap Demonstran</w:t>
          </w:r>
          <w:r w:rsidRPr="00210C44">
            <w:rPr>
              <w:rFonts w:ascii="Times New Roman" w:eastAsia="Times New Roman" w:hAnsi="Times New Roman" w:cs="Times New Roman"/>
            </w:rPr>
            <w:t xml:space="preserve"> (Vol. 2, Issue 1).</w:t>
          </w:r>
        </w:p>
        <w:p w14:paraId="375A43D8" w14:textId="77777777" w:rsidR="00000820" w:rsidRPr="00210C44" w:rsidRDefault="00000820">
          <w:pPr>
            <w:autoSpaceDE w:val="0"/>
            <w:autoSpaceDN w:val="0"/>
            <w:ind w:hanging="480"/>
            <w:divId w:val="249199664"/>
            <w:rPr>
              <w:rFonts w:ascii="Times New Roman" w:eastAsia="Times New Roman" w:hAnsi="Times New Roman" w:cs="Times New Roman"/>
            </w:rPr>
          </w:pPr>
          <w:r w:rsidRPr="00210C44">
            <w:rPr>
              <w:rFonts w:ascii="Times New Roman" w:eastAsia="Times New Roman" w:hAnsi="Times New Roman" w:cs="Times New Roman"/>
            </w:rPr>
            <w:lastRenderedPageBreak/>
            <w:t xml:space="preserve">Irawan, V. (2020). ANALISIS YURIDIS TERHADAP PELANGGARAN HAK CIPTA PERMAINAN VIDEO (VIDEO GAMES) BERUPA PEMBAJAKAN SECARA ONLINE. In </w:t>
          </w:r>
          <w:r w:rsidRPr="00210C44">
            <w:rPr>
              <w:rFonts w:ascii="Times New Roman" w:eastAsia="Times New Roman" w:hAnsi="Times New Roman" w:cs="Times New Roman"/>
              <w:i/>
              <w:iCs/>
            </w:rPr>
            <w:t>Journal of Intellectual Property</w:t>
          </w:r>
          <w:r w:rsidRPr="00210C44">
            <w:rPr>
              <w:rFonts w:ascii="Times New Roman" w:eastAsia="Times New Roman" w:hAnsi="Times New Roman" w:cs="Times New Roman"/>
            </w:rPr>
            <w:t xml:space="preserve"> (Vol. 3, Issue 2). www.journal.uii.ac.id/JIPRO</w:t>
          </w:r>
        </w:p>
        <w:p w14:paraId="1CE9814C" w14:textId="77777777" w:rsidR="00000820" w:rsidRPr="00210C44" w:rsidRDefault="00000820">
          <w:pPr>
            <w:autoSpaceDE w:val="0"/>
            <w:autoSpaceDN w:val="0"/>
            <w:ind w:hanging="480"/>
            <w:divId w:val="1897549166"/>
            <w:rPr>
              <w:rFonts w:ascii="Times New Roman" w:eastAsia="Times New Roman" w:hAnsi="Times New Roman" w:cs="Times New Roman"/>
            </w:rPr>
          </w:pPr>
          <w:r w:rsidRPr="00210C44">
            <w:rPr>
              <w:rFonts w:ascii="Times New Roman" w:eastAsia="Times New Roman" w:hAnsi="Times New Roman" w:cs="Times New Roman"/>
            </w:rPr>
            <w:t xml:space="preserve">Nurhayani. (2015). PEMBUKTIAN TERBALIK DALAM PEMERIKSAAN TINDAK PIDANA KORUPSI DI INDONESIA. </w:t>
          </w:r>
          <w:r w:rsidRPr="00210C44">
            <w:rPr>
              <w:rFonts w:ascii="Times New Roman" w:eastAsia="Times New Roman" w:hAnsi="Times New Roman" w:cs="Times New Roman"/>
              <w:i/>
              <w:iCs/>
            </w:rPr>
            <w:t>Jurnal IUS : Kajian Hukum Dan Keadilan</w:t>
          </w:r>
          <w:r w:rsidRPr="00210C44">
            <w:rPr>
              <w:rFonts w:ascii="Times New Roman" w:eastAsia="Times New Roman" w:hAnsi="Times New Roman" w:cs="Times New Roman"/>
            </w:rPr>
            <w:t xml:space="preserve">, </w:t>
          </w:r>
          <w:r w:rsidRPr="00210C44">
            <w:rPr>
              <w:rFonts w:ascii="Times New Roman" w:eastAsia="Times New Roman" w:hAnsi="Times New Roman" w:cs="Times New Roman"/>
              <w:i/>
              <w:iCs/>
            </w:rPr>
            <w:t>3</w:t>
          </w:r>
          <w:r w:rsidRPr="00210C44">
            <w:rPr>
              <w:rFonts w:ascii="Times New Roman" w:eastAsia="Times New Roman" w:hAnsi="Times New Roman" w:cs="Times New Roman"/>
            </w:rPr>
            <w:t>(7). https://masalahukum.wordpress.com/2013/10/05/</w:t>
          </w:r>
        </w:p>
        <w:p w14:paraId="4512138E" w14:textId="77777777" w:rsidR="00000820" w:rsidRPr="00210C44" w:rsidRDefault="00000820">
          <w:pPr>
            <w:autoSpaceDE w:val="0"/>
            <w:autoSpaceDN w:val="0"/>
            <w:ind w:hanging="480"/>
            <w:divId w:val="262344451"/>
            <w:rPr>
              <w:rFonts w:ascii="Times New Roman" w:eastAsia="Times New Roman" w:hAnsi="Times New Roman" w:cs="Times New Roman"/>
            </w:rPr>
          </w:pPr>
          <w:r w:rsidRPr="00210C44">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210C44">
            <w:rPr>
              <w:rFonts w:ascii="Times New Roman" w:eastAsia="Times New Roman" w:hAnsi="Times New Roman" w:cs="Times New Roman"/>
              <w:i/>
              <w:iCs/>
            </w:rPr>
            <w:t>FOCUS</w:t>
          </w:r>
          <w:r w:rsidRPr="00210C44">
            <w:rPr>
              <w:rFonts w:ascii="Times New Roman" w:eastAsia="Times New Roman" w:hAnsi="Times New Roman" w:cs="Times New Roman"/>
            </w:rPr>
            <w:t xml:space="preserve">, </w:t>
          </w:r>
          <w:r w:rsidRPr="00210C44">
            <w:rPr>
              <w:rFonts w:ascii="Times New Roman" w:eastAsia="Times New Roman" w:hAnsi="Times New Roman" w:cs="Times New Roman"/>
              <w:i/>
              <w:iCs/>
            </w:rPr>
            <w:t>4</w:t>
          </w:r>
          <w:r w:rsidRPr="00210C44">
            <w:rPr>
              <w:rFonts w:ascii="Times New Roman" w:eastAsia="Times New Roman" w:hAnsi="Times New Roman" w:cs="Times New Roman"/>
            </w:rPr>
            <w:t>(1), 36–41. https://doi.org/10.37010/fcs.v4i1.1153</w:t>
          </w:r>
        </w:p>
        <w:p w14:paraId="61850B58" w14:textId="77777777" w:rsidR="00000820" w:rsidRPr="00210C44" w:rsidRDefault="00000820">
          <w:pPr>
            <w:autoSpaceDE w:val="0"/>
            <w:autoSpaceDN w:val="0"/>
            <w:ind w:hanging="480"/>
            <w:divId w:val="1632443417"/>
            <w:rPr>
              <w:rFonts w:ascii="Times New Roman" w:eastAsia="Times New Roman" w:hAnsi="Times New Roman" w:cs="Times New Roman"/>
            </w:rPr>
          </w:pPr>
          <w:r w:rsidRPr="00210C44">
            <w:rPr>
              <w:rFonts w:ascii="Times New Roman" w:eastAsia="Times New Roman" w:hAnsi="Times New Roman" w:cs="Times New Roman"/>
            </w:rPr>
            <w:t xml:space="preserve">Robbani, H., &amp; Yuliana, N. (2022). Analysis of Factors Affecting Learning Difficulties during the Covid 19 Pandemic. </w:t>
          </w:r>
          <w:r w:rsidRPr="00210C44">
            <w:rPr>
              <w:rFonts w:ascii="Times New Roman" w:eastAsia="Times New Roman" w:hAnsi="Times New Roman" w:cs="Times New Roman"/>
              <w:i/>
              <w:iCs/>
            </w:rPr>
            <w:t>FOCUS</w:t>
          </w:r>
          <w:r w:rsidRPr="00210C44">
            <w:rPr>
              <w:rFonts w:ascii="Times New Roman" w:eastAsia="Times New Roman" w:hAnsi="Times New Roman" w:cs="Times New Roman"/>
            </w:rPr>
            <w:t xml:space="preserve">, </w:t>
          </w:r>
          <w:r w:rsidRPr="00210C44">
            <w:rPr>
              <w:rFonts w:ascii="Times New Roman" w:eastAsia="Times New Roman" w:hAnsi="Times New Roman" w:cs="Times New Roman"/>
              <w:i/>
              <w:iCs/>
            </w:rPr>
            <w:t>3</w:t>
          </w:r>
          <w:r w:rsidRPr="00210C44">
            <w:rPr>
              <w:rFonts w:ascii="Times New Roman" w:eastAsia="Times New Roman" w:hAnsi="Times New Roman" w:cs="Times New Roman"/>
            </w:rPr>
            <w:t>(1), 55–58. https://doi.org/10.37010/fcs.v3i1.537</w:t>
          </w:r>
        </w:p>
        <w:p w14:paraId="48112A3A" w14:textId="77777777" w:rsidR="00000820" w:rsidRPr="00210C44" w:rsidRDefault="00000820">
          <w:pPr>
            <w:autoSpaceDE w:val="0"/>
            <w:autoSpaceDN w:val="0"/>
            <w:ind w:hanging="480"/>
            <w:divId w:val="159464734"/>
            <w:rPr>
              <w:rFonts w:ascii="Times New Roman" w:eastAsia="Times New Roman" w:hAnsi="Times New Roman" w:cs="Times New Roman"/>
            </w:rPr>
          </w:pPr>
          <w:r w:rsidRPr="00210C44">
            <w:rPr>
              <w:rFonts w:ascii="Times New Roman" w:eastAsia="Times New Roman" w:hAnsi="Times New Roman" w:cs="Times New Roman"/>
            </w:rPr>
            <w:t xml:space="preserve">Rusdiawan, Y. (2021). </w:t>
          </w:r>
          <w:r w:rsidRPr="00210C44">
            <w:rPr>
              <w:rFonts w:ascii="Times New Roman" w:eastAsia="Times New Roman" w:hAnsi="Times New Roman" w:cs="Times New Roman"/>
              <w:i/>
              <w:iCs/>
            </w:rPr>
            <w:t>HARMONISASI PEMBUKTIAN TERBALIK DAN PEMBUKTIAN MENURUT KUHP SEBAGAI UPAYA PENCEGAHAN DAN PEMBERANTASAN TINDAK PIDANA PENCUCIAN UANG MENURUT UNDANG-UNDANG NO 8 TAHUN 2010</w:t>
          </w:r>
          <w:r w:rsidRPr="00210C44">
            <w:rPr>
              <w:rFonts w:ascii="Times New Roman" w:eastAsia="Times New Roman" w:hAnsi="Times New Roman" w:cs="Times New Roman"/>
            </w:rPr>
            <w:t xml:space="preserve"> [Artikel]. Universitas Pasundan.</w:t>
          </w:r>
        </w:p>
        <w:p w14:paraId="558DC531" w14:textId="77777777" w:rsidR="00000820" w:rsidRPr="00210C44" w:rsidRDefault="00000820">
          <w:pPr>
            <w:autoSpaceDE w:val="0"/>
            <w:autoSpaceDN w:val="0"/>
            <w:ind w:hanging="480"/>
            <w:divId w:val="1097364205"/>
            <w:rPr>
              <w:rFonts w:ascii="Times New Roman" w:eastAsia="Times New Roman" w:hAnsi="Times New Roman" w:cs="Times New Roman"/>
            </w:rPr>
          </w:pPr>
          <w:r w:rsidRPr="00210C44">
            <w:rPr>
              <w:rFonts w:ascii="Times New Roman" w:eastAsia="Times New Roman" w:hAnsi="Times New Roman" w:cs="Times New Roman"/>
            </w:rPr>
            <w:t xml:space="preserve">Simanjuntak, M. (2016). </w:t>
          </w:r>
          <w:r w:rsidRPr="00210C44">
            <w:rPr>
              <w:rFonts w:ascii="Times New Roman" w:eastAsia="Times New Roman" w:hAnsi="Times New Roman" w:cs="Times New Roman"/>
              <w:i/>
              <w:iCs/>
            </w:rPr>
            <w:t>MENGUNGKAP TINDAK PIDANA KORUPSI DARI PEMBUKTIAN TERBALIK DAN LAPORAN HARTA KEKAYAAN PENYELENGGARA NEGARA (LHKPN) Oleh</w:t>
          </w:r>
          <w:r w:rsidRPr="00210C44">
            <w:rPr>
              <w:rFonts w:ascii="Times New Roman" w:eastAsia="Times New Roman" w:hAnsi="Times New Roman" w:cs="Times New Roman"/>
            </w:rPr>
            <w:t xml:space="preserve"> (Vol. 7, Issue 1).</w:t>
          </w:r>
        </w:p>
        <w:p w14:paraId="3AD2C5A3" w14:textId="77777777" w:rsidR="00000820" w:rsidRPr="00210C44" w:rsidRDefault="00000820">
          <w:pPr>
            <w:autoSpaceDE w:val="0"/>
            <w:autoSpaceDN w:val="0"/>
            <w:ind w:hanging="480"/>
            <w:divId w:val="611713702"/>
            <w:rPr>
              <w:rFonts w:ascii="Times New Roman" w:eastAsia="Times New Roman" w:hAnsi="Times New Roman" w:cs="Times New Roman"/>
            </w:rPr>
          </w:pPr>
          <w:r w:rsidRPr="00210C44">
            <w:rPr>
              <w:rFonts w:ascii="Times New Roman" w:eastAsia="Times New Roman" w:hAnsi="Times New Roman" w:cs="Times New Roman"/>
            </w:rPr>
            <w:t xml:space="preserve">Soeskandi, H., &amp; Sekarwati, S. (2021). Pembuktian Terbalik dalam Tindak Pidana Korupsi. </w:t>
          </w:r>
          <w:r w:rsidRPr="00210C44">
            <w:rPr>
              <w:rFonts w:ascii="Times New Roman" w:eastAsia="Times New Roman" w:hAnsi="Times New Roman" w:cs="Times New Roman"/>
              <w:i/>
              <w:iCs/>
            </w:rPr>
            <w:t>Jurnal Indonesia Sosial Teknologi</w:t>
          </w:r>
          <w:r w:rsidRPr="00210C44">
            <w:rPr>
              <w:rFonts w:ascii="Times New Roman" w:eastAsia="Times New Roman" w:hAnsi="Times New Roman" w:cs="Times New Roman"/>
            </w:rPr>
            <w:t xml:space="preserve">, </w:t>
          </w:r>
          <w:r w:rsidRPr="00210C44">
            <w:rPr>
              <w:rFonts w:ascii="Times New Roman" w:eastAsia="Times New Roman" w:hAnsi="Times New Roman" w:cs="Times New Roman"/>
              <w:i/>
              <w:iCs/>
            </w:rPr>
            <w:t>2</w:t>
          </w:r>
          <w:r w:rsidRPr="00210C44">
            <w:rPr>
              <w:rFonts w:ascii="Times New Roman" w:eastAsia="Times New Roman" w:hAnsi="Times New Roman" w:cs="Times New Roman"/>
            </w:rPr>
            <w:t>(11).</w:t>
          </w:r>
        </w:p>
        <w:p w14:paraId="42F4DA14" w14:textId="77777777" w:rsidR="00000820" w:rsidRPr="00210C44" w:rsidRDefault="00000820">
          <w:pPr>
            <w:autoSpaceDE w:val="0"/>
            <w:autoSpaceDN w:val="0"/>
            <w:ind w:hanging="480"/>
            <w:divId w:val="606430415"/>
            <w:rPr>
              <w:rFonts w:ascii="Times New Roman" w:eastAsia="Times New Roman" w:hAnsi="Times New Roman" w:cs="Times New Roman"/>
            </w:rPr>
          </w:pPr>
          <w:r w:rsidRPr="00210C44">
            <w:rPr>
              <w:rFonts w:ascii="Times New Roman" w:eastAsia="Times New Roman" w:hAnsi="Times New Roman" w:cs="Times New Roman"/>
            </w:rPr>
            <w:t xml:space="preserve">Tangkau, H. C. (2011). PEMBUKTIAN TERBALIK DALAM PENANGANAN TINDAK PIDANA KORUPSI Oleh. </w:t>
          </w:r>
          <w:r w:rsidRPr="00210C44">
            <w:rPr>
              <w:rFonts w:ascii="Times New Roman" w:eastAsia="Times New Roman" w:hAnsi="Times New Roman" w:cs="Times New Roman"/>
              <w:i/>
              <w:iCs/>
            </w:rPr>
            <w:t>Jurnal IKHTIYAR</w:t>
          </w:r>
          <w:r w:rsidRPr="00210C44">
            <w:rPr>
              <w:rFonts w:ascii="Times New Roman" w:eastAsia="Times New Roman" w:hAnsi="Times New Roman" w:cs="Times New Roman"/>
            </w:rPr>
            <w:t>.</w:t>
          </w:r>
        </w:p>
        <w:p w14:paraId="465EFF44" w14:textId="77777777" w:rsidR="00000820" w:rsidRPr="00210C44" w:rsidRDefault="00000820">
          <w:pPr>
            <w:autoSpaceDE w:val="0"/>
            <w:autoSpaceDN w:val="0"/>
            <w:ind w:hanging="480"/>
            <w:divId w:val="8411800"/>
            <w:rPr>
              <w:rFonts w:ascii="Times New Roman" w:eastAsia="Times New Roman" w:hAnsi="Times New Roman" w:cs="Times New Roman"/>
            </w:rPr>
          </w:pPr>
          <w:r w:rsidRPr="00210C44">
            <w:rPr>
              <w:rFonts w:ascii="Times New Roman" w:eastAsia="Times New Roman" w:hAnsi="Times New Roman" w:cs="Times New Roman"/>
            </w:rPr>
            <w:t xml:space="preserve">Ulfiyah, T. (2017). </w:t>
          </w:r>
          <w:r w:rsidRPr="00210C44">
            <w:rPr>
              <w:rFonts w:ascii="Times New Roman" w:eastAsia="Times New Roman" w:hAnsi="Times New Roman" w:cs="Times New Roman"/>
              <w:i/>
              <w:iCs/>
            </w:rPr>
            <w:t>Penerapan beban pembuktian terbalik terhadap tindak pidana gratifikasi di Pengadilan Tipikor Semarang dalam tinjauan hukum Islam dan positif</w:t>
          </w:r>
          <w:r w:rsidRPr="00210C44">
            <w:rPr>
              <w:rFonts w:ascii="Times New Roman" w:eastAsia="Times New Roman" w:hAnsi="Times New Roman" w:cs="Times New Roman"/>
            </w:rPr>
            <w:t>. Universitas Islam Negeri Walisongo.</w:t>
          </w:r>
        </w:p>
        <w:p w14:paraId="00000046" w14:textId="4573B0EA" w:rsidR="00342FD4" w:rsidRPr="00210C44" w:rsidRDefault="00000820">
          <w:pPr>
            <w:spacing w:before="20"/>
            <w:ind w:left="850" w:hanging="850"/>
            <w:jc w:val="both"/>
            <w:rPr>
              <w:rFonts w:ascii="Times New Roman" w:eastAsia="Times New Roman" w:hAnsi="Times New Roman" w:cs="Times New Roman"/>
              <w:color w:val="222222"/>
              <w:sz w:val="24"/>
              <w:szCs w:val="24"/>
              <w:highlight w:val="white"/>
            </w:rPr>
          </w:pPr>
          <w:r w:rsidRPr="00210C44">
            <w:rPr>
              <w:rFonts w:ascii="Times New Roman" w:eastAsia="Times New Roman" w:hAnsi="Times New Roman" w:cs="Times New Roman"/>
            </w:rPr>
            <w:t> </w:t>
          </w:r>
        </w:p>
      </w:sdtContent>
    </w:sdt>
    <w:sectPr w:rsidR="00342FD4" w:rsidRPr="00210C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10A0"/>
    <w:multiLevelType w:val="multilevel"/>
    <w:tmpl w:val="FB78ED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F80788"/>
    <w:multiLevelType w:val="multilevel"/>
    <w:tmpl w:val="40F0AA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435710228">
    <w:abstractNumId w:val="1"/>
  </w:num>
  <w:num w:numId="2" w16cid:durableId="108136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D4"/>
    <w:rsid w:val="00000820"/>
    <w:rsid w:val="00210C44"/>
    <w:rsid w:val="00342F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EF68B-7BF7-4E2D-895C-A272104F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0008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344">
      <w:bodyDiv w:val="1"/>
      <w:marLeft w:val="0"/>
      <w:marRight w:val="0"/>
      <w:marTop w:val="0"/>
      <w:marBottom w:val="0"/>
      <w:divBdr>
        <w:top w:val="none" w:sz="0" w:space="0" w:color="auto"/>
        <w:left w:val="none" w:sz="0" w:space="0" w:color="auto"/>
        <w:bottom w:val="none" w:sz="0" w:space="0" w:color="auto"/>
        <w:right w:val="none" w:sz="0" w:space="0" w:color="auto"/>
      </w:divBdr>
    </w:div>
    <w:div w:id="579797501">
      <w:bodyDiv w:val="1"/>
      <w:marLeft w:val="0"/>
      <w:marRight w:val="0"/>
      <w:marTop w:val="0"/>
      <w:marBottom w:val="0"/>
      <w:divBdr>
        <w:top w:val="none" w:sz="0" w:space="0" w:color="auto"/>
        <w:left w:val="none" w:sz="0" w:space="0" w:color="auto"/>
        <w:bottom w:val="none" w:sz="0" w:space="0" w:color="auto"/>
        <w:right w:val="none" w:sz="0" w:space="0" w:color="auto"/>
      </w:divBdr>
    </w:div>
    <w:div w:id="581253991">
      <w:bodyDiv w:val="1"/>
      <w:marLeft w:val="0"/>
      <w:marRight w:val="0"/>
      <w:marTop w:val="0"/>
      <w:marBottom w:val="0"/>
      <w:divBdr>
        <w:top w:val="none" w:sz="0" w:space="0" w:color="auto"/>
        <w:left w:val="none" w:sz="0" w:space="0" w:color="auto"/>
        <w:bottom w:val="none" w:sz="0" w:space="0" w:color="auto"/>
        <w:right w:val="none" w:sz="0" w:space="0" w:color="auto"/>
      </w:divBdr>
      <w:divsChild>
        <w:div w:id="2113671709">
          <w:marLeft w:val="480"/>
          <w:marRight w:val="0"/>
          <w:marTop w:val="0"/>
          <w:marBottom w:val="0"/>
          <w:divBdr>
            <w:top w:val="none" w:sz="0" w:space="0" w:color="auto"/>
            <w:left w:val="none" w:sz="0" w:space="0" w:color="auto"/>
            <w:bottom w:val="none" w:sz="0" w:space="0" w:color="auto"/>
            <w:right w:val="none" w:sz="0" w:space="0" w:color="auto"/>
          </w:divBdr>
        </w:div>
        <w:div w:id="2127120109">
          <w:marLeft w:val="480"/>
          <w:marRight w:val="0"/>
          <w:marTop w:val="0"/>
          <w:marBottom w:val="0"/>
          <w:divBdr>
            <w:top w:val="none" w:sz="0" w:space="0" w:color="auto"/>
            <w:left w:val="none" w:sz="0" w:space="0" w:color="auto"/>
            <w:bottom w:val="none" w:sz="0" w:space="0" w:color="auto"/>
            <w:right w:val="none" w:sz="0" w:space="0" w:color="auto"/>
          </w:divBdr>
        </w:div>
        <w:div w:id="249199664">
          <w:marLeft w:val="480"/>
          <w:marRight w:val="0"/>
          <w:marTop w:val="0"/>
          <w:marBottom w:val="0"/>
          <w:divBdr>
            <w:top w:val="none" w:sz="0" w:space="0" w:color="auto"/>
            <w:left w:val="none" w:sz="0" w:space="0" w:color="auto"/>
            <w:bottom w:val="none" w:sz="0" w:space="0" w:color="auto"/>
            <w:right w:val="none" w:sz="0" w:space="0" w:color="auto"/>
          </w:divBdr>
        </w:div>
        <w:div w:id="1897549166">
          <w:marLeft w:val="480"/>
          <w:marRight w:val="0"/>
          <w:marTop w:val="0"/>
          <w:marBottom w:val="0"/>
          <w:divBdr>
            <w:top w:val="none" w:sz="0" w:space="0" w:color="auto"/>
            <w:left w:val="none" w:sz="0" w:space="0" w:color="auto"/>
            <w:bottom w:val="none" w:sz="0" w:space="0" w:color="auto"/>
            <w:right w:val="none" w:sz="0" w:space="0" w:color="auto"/>
          </w:divBdr>
        </w:div>
        <w:div w:id="262344451">
          <w:marLeft w:val="480"/>
          <w:marRight w:val="0"/>
          <w:marTop w:val="0"/>
          <w:marBottom w:val="0"/>
          <w:divBdr>
            <w:top w:val="none" w:sz="0" w:space="0" w:color="auto"/>
            <w:left w:val="none" w:sz="0" w:space="0" w:color="auto"/>
            <w:bottom w:val="none" w:sz="0" w:space="0" w:color="auto"/>
            <w:right w:val="none" w:sz="0" w:space="0" w:color="auto"/>
          </w:divBdr>
        </w:div>
        <w:div w:id="1632443417">
          <w:marLeft w:val="480"/>
          <w:marRight w:val="0"/>
          <w:marTop w:val="0"/>
          <w:marBottom w:val="0"/>
          <w:divBdr>
            <w:top w:val="none" w:sz="0" w:space="0" w:color="auto"/>
            <w:left w:val="none" w:sz="0" w:space="0" w:color="auto"/>
            <w:bottom w:val="none" w:sz="0" w:space="0" w:color="auto"/>
            <w:right w:val="none" w:sz="0" w:space="0" w:color="auto"/>
          </w:divBdr>
        </w:div>
        <w:div w:id="159464734">
          <w:marLeft w:val="480"/>
          <w:marRight w:val="0"/>
          <w:marTop w:val="0"/>
          <w:marBottom w:val="0"/>
          <w:divBdr>
            <w:top w:val="none" w:sz="0" w:space="0" w:color="auto"/>
            <w:left w:val="none" w:sz="0" w:space="0" w:color="auto"/>
            <w:bottom w:val="none" w:sz="0" w:space="0" w:color="auto"/>
            <w:right w:val="none" w:sz="0" w:space="0" w:color="auto"/>
          </w:divBdr>
        </w:div>
        <w:div w:id="1097364205">
          <w:marLeft w:val="480"/>
          <w:marRight w:val="0"/>
          <w:marTop w:val="0"/>
          <w:marBottom w:val="0"/>
          <w:divBdr>
            <w:top w:val="none" w:sz="0" w:space="0" w:color="auto"/>
            <w:left w:val="none" w:sz="0" w:space="0" w:color="auto"/>
            <w:bottom w:val="none" w:sz="0" w:space="0" w:color="auto"/>
            <w:right w:val="none" w:sz="0" w:space="0" w:color="auto"/>
          </w:divBdr>
        </w:div>
        <w:div w:id="611713702">
          <w:marLeft w:val="480"/>
          <w:marRight w:val="0"/>
          <w:marTop w:val="0"/>
          <w:marBottom w:val="0"/>
          <w:divBdr>
            <w:top w:val="none" w:sz="0" w:space="0" w:color="auto"/>
            <w:left w:val="none" w:sz="0" w:space="0" w:color="auto"/>
            <w:bottom w:val="none" w:sz="0" w:space="0" w:color="auto"/>
            <w:right w:val="none" w:sz="0" w:space="0" w:color="auto"/>
          </w:divBdr>
        </w:div>
        <w:div w:id="606430415">
          <w:marLeft w:val="480"/>
          <w:marRight w:val="0"/>
          <w:marTop w:val="0"/>
          <w:marBottom w:val="0"/>
          <w:divBdr>
            <w:top w:val="none" w:sz="0" w:space="0" w:color="auto"/>
            <w:left w:val="none" w:sz="0" w:space="0" w:color="auto"/>
            <w:bottom w:val="none" w:sz="0" w:space="0" w:color="auto"/>
            <w:right w:val="none" w:sz="0" w:space="0" w:color="auto"/>
          </w:divBdr>
        </w:div>
        <w:div w:id="8411800">
          <w:marLeft w:val="480"/>
          <w:marRight w:val="0"/>
          <w:marTop w:val="0"/>
          <w:marBottom w:val="0"/>
          <w:divBdr>
            <w:top w:val="none" w:sz="0" w:space="0" w:color="auto"/>
            <w:left w:val="none" w:sz="0" w:space="0" w:color="auto"/>
            <w:bottom w:val="none" w:sz="0" w:space="0" w:color="auto"/>
            <w:right w:val="none" w:sz="0" w:space="0" w:color="auto"/>
          </w:divBdr>
        </w:div>
      </w:divsChild>
    </w:div>
    <w:div w:id="969550534">
      <w:bodyDiv w:val="1"/>
      <w:marLeft w:val="0"/>
      <w:marRight w:val="0"/>
      <w:marTop w:val="0"/>
      <w:marBottom w:val="0"/>
      <w:divBdr>
        <w:top w:val="none" w:sz="0" w:space="0" w:color="auto"/>
        <w:left w:val="none" w:sz="0" w:space="0" w:color="auto"/>
        <w:bottom w:val="none" w:sz="0" w:space="0" w:color="auto"/>
        <w:right w:val="none" w:sz="0" w:space="0" w:color="auto"/>
      </w:divBdr>
    </w:div>
    <w:div w:id="1475176192">
      <w:bodyDiv w:val="1"/>
      <w:marLeft w:val="0"/>
      <w:marRight w:val="0"/>
      <w:marTop w:val="0"/>
      <w:marBottom w:val="0"/>
      <w:divBdr>
        <w:top w:val="none" w:sz="0" w:space="0" w:color="auto"/>
        <w:left w:val="none" w:sz="0" w:space="0" w:color="auto"/>
        <w:bottom w:val="none" w:sz="0" w:space="0" w:color="auto"/>
        <w:right w:val="none" w:sz="0" w:space="0" w:color="auto"/>
      </w:divBdr>
    </w:div>
    <w:div w:id="1583635003">
      <w:bodyDiv w:val="1"/>
      <w:marLeft w:val="0"/>
      <w:marRight w:val="0"/>
      <w:marTop w:val="0"/>
      <w:marBottom w:val="0"/>
      <w:divBdr>
        <w:top w:val="none" w:sz="0" w:space="0" w:color="auto"/>
        <w:left w:val="none" w:sz="0" w:space="0" w:color="auto"/>
        <w:bottom w:val="none" w:sz="0" w:space="0" w:color="auto"/>
        <w:right w:val="none" w:sz="0" w:space="0" w:color="auto"/>
      </w:divBdr>
    </w:div>
    <w:div w:id="173192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FBB447-3D82-4F9D-86F0-CD9F91CE99C7}"/>
      </w:docPartPr>
      <w:docPartBody>
        <w:p w:rsidR="00000000" w:rsidRDefault="00074D80">
          <w:r w:rsidRPr="00C915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80"/>
    <w:rsid w:val="00074D80"/>
    <w:rsid w:val="001435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D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E374B3-5EA7-4DAE-9588-DCD11B4A2260}">
  <we:reference id="wa104382081" version="1.55.1.0" store="id-ID" storeType="OMEX"/>
  <we:alternateReferences>
    <we:reference id="wa104382081" version="1.55.1.0" store="" storeType="OMEX"/>
  </we:alternateReferences>
  <we:properties>
    <we:property name="MENDELEY_CITATIONS" value="[{&quot;citationID&quot;:&quot;MENDELEY_CITATION_ac089bf1-7036-4fbf-8a74-db5d432f10ef&quot;,&quot;properties&quot;:{&quot;noteIndex&quot;:0},&quot;isEdited&quot;:false,&quot;manualOverride&quot;:{&quot;isManuallyOverridden&quot;:false,&quot;citeprocText&quot;:&quot;(Soeskandi &amp;#38; Sekarwati, 2021)&quot;,&quot;manualOverrideText&quot;:&quot;&quot;},&quot;citationTag&quot;:&quot;MENDELEY_CITATION_v3_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&quot;,&quot;citationItems&quot;:[{&quot;id&quot;:&quot;8b2aebbe-b45c-3940-a1ba-46614db869b9&quot;,&quot;itemData&quot;:{&quot;type&quot;:&quot;article-journal&quot;,&quot;id&quot;:&quot;8b2aebbe-b45c-3940-a1ba-46614db869b9&quot;,&quot;title&quot;:&quot;Pembuktian Terbalik dalam Tindak Pidana Korupsi&quot;,&quot;author&quot;:[{&quot;family&quot;:&quot;Soeskandi&quot;,&quot;given&quot;:&quot;Hari&quot;,&quot;parse-names&quot;:false,&quot;dropping-particle&quot;:&quot;&quot;,&quot;non-dropping-particle&quot;:&quot;&quot;},{&quot;family&quot;:&quot;Sekarwati&quot;,&quot;given&quot;:&quot;Setia&quot;,&quot;parse-names&quot;:false,&quot;dropping-particle&quot;:&quot;&quot;,&quot;non-dropping-particle&quot;:&quot;&quot;}],&quot;container-title&quot;:&quot;Jurnal Indonesia Sosial Teknologi&quot;,&quot;issued&quot;:{&quot;date-parts&quot;:[[2021]]},&quot;issue&quot;:&quot;11&quot;,&quot;volume&quot;:&quot;2&quot;,&quot;container-title-short&quot;:&quot;&quot;},&quot;isTemporary&quot;:false}]},{&quot;citationID&quot;:&quot;MENDELEY_CITATION_68b754ee-883b-4d16-9125-8c71e5d6ae12&quot;,&quot;properties&quot;:{&quot;noteIndex&quot;:0},&quot;isEdited&quot;:false,&quot;manualOverride&quot;:{&quot;isManuallyOverridden&quot;:false,&quot;citeprocText&quot;:&quot;(Nurhayani, 2015)&quot;,&quot;manualOverrideText&quot;:&quot;&quot;},&quot;citationTag&quot;:&quot;MENDELEY_CITATION_v3_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&quot;,&quot;citationItems&quot;:[{&quot;id&quot;:&quot;06651b87-ecd9-3204-a949-4962b6eb6a58&quot;,&quot;itemData&quot;:{&quot;type&quot;:&quot;article-journal&quot;,&quot;id&quot;:&quot;06651b87-ecd9-3204-a949-4962b6eb6a58&quot;,&quot;title&quot;:&quot;PEMBUKTIAN TERBALIK DALAM PEMERIKSAAN TINDAK PIDANA KORUPSI DI INDONESIA&quot;,&quot;author&quot;:[{&quot;family&quot;:&quot;Nurhayani&quot;,&quot;given&quot;:&quot;&quot;,&quot;parse-names&quot;:false,&quot;dropping-particle&quot;:&quot;&quot;,&quot;non-dropping-particle&quot;:&quot;&quot;}],&quot;container-title&quot;:&quot;Jurnal IUS : Kajian Hukum dan Keadilan&quot;,&quot;URL&quot;:&quot;https://masalahukum.wordpress.com/2013/10/05/&quot;,&quot;issued&quot;:{&quot;date-parts&quot;:[[2015]]},&quot;abstract&quot;:&quot;The number of cases of corruption have led to public distrust of the legal and criminal justice system. One of the verification system in case of corruption is reversed burden of proof. This study aimed to analyze the reversed burden of proof in terms of what is charged to the defendant in a corruption case, analyzing the application of reversed burden of proof in cases of corruption and constraints. This thesis research type is research of normative law. The theory used is the theory of law enforcement, evidence theory, the theory of justice. Results of the research that has been done is reversed burden of proof in cases of corruption applied to bribery accept gratuities worth 10 million upwards and towards proving property belonging to the defendant who has not been charged but allegedly derived from criminal acts of corruption as well as the adoption of reverse authentication is done by the judge ordered the defendant to prove that his property obtained legally. Barriers to implementation of proof in terms of the substance of the law is still weak because it is still limited to the recognition of rights of the accused but not the obligation defendant to prove the upside, in terms of legal culture is still dominant prosecution to prove the charges.&quot;,&quot;issue&quot;:&quot;7&quot;,&quot;volume&quot;:&quot;3&quot;,&quot;container-title-short&quot;:&quot;&quot;},&quot;isTemporary&quot;:false}]},{&quot;citationID&quot;:&quot;MENDELEY_CITATION_cfbb6e89-e99c-4496-b0c7-dd98f0e6002a&quot;,&quot;properties&quot;:{&quot;noteIndex&quot;:0},&quot;isEdited&quot;:false,&quot;manualOverride&quot;:{&quot;isManuallyOverridden&quot;:false,&quot;citeprocText&quot;:&quot;(Tangkau, 2011)&quot;,&quot;manualOverrideText&quot;:&quot;&quot;},&quot;citationTag&quot;:&quot;MENDELEY_CITATION_v3_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&quot;,&quot;citationItems&quot;:[{&quot;id&quot;:&quot;700839e1-6a65-360d-be78-fb9f98d64d44&quot;,&quot;itemData&quot;:{&quot;type&quot;:&quot;article-journal&quot;,&quot;id&quot;:&quot;700839e1-6a65-360d-be78-fb9f98d64d44&quot;,&quot;title&quot;:&quot;PEMBUKTIAN TERBALIK DALAM PENANGANAN TINDAK PIDANA KORUPSI Oleh&quot;,&quot;author&quot;:[{&quot;family&quot;:&quot;Tangkau&quot;,&quot;given&quot;:&quot;Hans C&quot;,&quot;parse-names&quot;:false,&quot;dropping-particle&quot;:&quot;&quot;,&quot;non-dropping-particle&quot;:&quot;&quot;}],&quot;container-title&quot;:&quot;Jurnal IKHTIYAR&quot;,&quot;issued&quot;:{&quot;date-parts&quot;:[[2011]]},&quot;container-title-short&quot;:&quot;&quot;},&quot;isTemporary&quot;:false}]},{&quot;citationID&quot;:&quot;MENDELEY_CITATION_99418f0f-e2a5-4f21-867b-1dff63202309&quot;,&quot;properties&quot;:{&quot;noteIndex&quot;:0},&quot;isEdited&quot;:false,&quot;manualOverride&quot;:{&quot;isManuallyOverridden&quot;:false,&quot;citeprocText&quot;:&quot;(Busroh, 2016)&quot;,&quot;manualOverrideText&quot;:&quot;&quot;},&quot;citationTag&quot;:&quot;MENDELEY_CITATION_v3_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&quot;,&quot;citationItems&quot;:[{&quot;id&quot;:&quot;7427bae3-d5c4-3e6d-b17c-ad24138e987c&quot;,&quot;itemData&quot;:{&quot;type&quot;:&quot;article-journal&quot;,&quot;id&quot;:&quot;7427bae3-d5c4-3e6d-b17c-ad24138e987c&quot;,&quot;title&quot;:&quot;PEMBUKTIAN TERBALIK DALAM TINDAK PIDANA KORUPSI&quot;,&quot;author&quot;:[{&quot;family&quot;:&quot;Busroh&quot;,&quot;given&quot;:&quot;H. Firman Freaddy&quot;,&quot;parse-names&quot;:false,&quot;dropping-particle&quot;:&quot;&quot;,&quot;non-dropping-particle&quot;:&quot;&quot;}],&quot;container-title&quot;:&quot;Jurnal Hukum to-ra&quot;,&quot;URL&quot;:&quot;http://www.kemendagri.go.id/&quot;,&quot;issued&quot;:{&quot;date-parts&quot;:[[2016]]},&quot;abstract&quot;:&quot;Position of proof in the criminal justice sistems in Indonesia actually has been set up A and 38 B. However, these rules have not been implemented to date in an attempt the eradication of corruption in Indonesia.The urgency of proof in the eradication of corruption First, restore the state financial losses made by the perpetrators of corruption, second, eradication of corruption is not only relying on law enforcement action is repressive, but also depends on preventive measures as a cease-desist follow corruption, and Third, improve the bad image of Indonesia are classified as high-level corruption, where one of the causes is the growing corruption committed by state officials. Reversed burden of proof required for a person attached to her duties as official organizer of the state, not him as a personal (individual). Proving wealth of local heads of government have to do with the approach of the Law of Administration and administrative sanctions and criminal law approach through the Corruption Court. Proof of the origin of the assets Servants and State Officers carried out by effecting a state administrative law and administrative law sanctions. If you find any indication of the wealth of the proceeds of corruption and has been demonstrated in reverse by Servants and State Officers that that wealth came not from corruption, then followed up through the procedures of criminal law and subject to criminal sanctions through Crime Court Corruption.&quot;,&quot;issue&quot;:&quot;2&quot;,&quot;volume&quot;:&quot;2&quot;,&quot;container-title-short&quot;:&quot;&quot;},&quot;isTemporary&quot;:false}]},{&quot;citationID&quot;:&quot;MENDELEY_CITATION_bf6d3c93-e7b1-4a78-9a07-c203a63d9401&quot;,&quot;properties&quot;:{&quot;noteIndex&quot;:0},&quot;isEdited&quot;:false,&quot;manualOverride&quot;:{&quot;isManuallyOverridden&quot;:false,&quot;citeprocText&quot;:&quot;(Rusdiawan, 2021)&quot;,&quot;manualOverrideText&quot;:&quot;&quot;},&quot;citationTag&quot;:&quot;MENDELEY_CITATION_v3_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&quot;,&quot;citationItems&quot;:[{&quot;id&quot;:&quot;8ad7924e-a2f3-3886-a992-38fca61f8f44&quot;,&quot;itemData&quot;:{&quot;type&quot;:&quot;thesis&quot;,&quot;id&quot;:&quot;8ad7924e-a2f3-3886-a992-38fca61f8f44&quot;,&quot;title&quot;:&quot;HARMONISASI PEMBUKTIAN TERBALIK DAN PEMBUKTIAN MENURUT KUHP SEBAGAI UPAYA PENCEGAHAN DAN PEMBERANTASAN TINDAK PIDANA PENCUCIAN UANG MENURUT UNDANG-UNDANG NO 8 TAHUN 2010&quot;,&quot;author&quot;:[{&quot;family&quot;:&quot;Rusdiawan&quot;,&quot;given&quot;:&quot;Yosep&quot;,&quot;parse-names&quot;:false,&quot;dropping-particle&quot;:&quot;&quot;,&quot;non-dropping-particle&quot;:&quot;&quot;}],&quot;issued&quot;:{&quot;date-parts&quot;:[[2021]]},&quot;publisher-place&quot;:&quot;Bandung&quot;,&quot;genre&quot;:&quot;Artikel&quot;,&quot;publisher&quot;:&quot;Universitas Pasundan&quot;,&quot;container-title-short&quot;:&quot;&quot;},&quot;isTemporary&quot;:false}]},{&quot;citationID&quot;:&quot;MENDELEY_CITATION_21ba7f3a-2a59-4c85-ba7f-353fc942e214&quot;,&quot;properties&quot;:{&quot;noteIndex&quot;:0},&quot;isEdited&quot;:false,&quot;manualOverride&quot;:{&quot;isManuallyOverridden&quot;:false,&quot;citeprocText&quot;:&quot;(Ulfiyah, 2017)&quot;,&quot;manualOverrideText&quot;:&quot;&quot;},&quot;citationTag&quot;:&quot;MENDELEY_CITATION_v3_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&quot;,&quot;citationItems&quot;:[{&quot;id&quot;:&quot;6b4277d3-b6ff-3119-8c51-343d8a0dacaf&quot;,&quot;itemData&quot;:{&quot;type&quot;:&quot;thesis&quot;,&quot;id&quot;:&quot;6b4277d3-b6ff-3119-8c51-343d8a0dacaf&quot;,&quot;title&quot;:&quot;Penerapan beban pembuktian terbalik terhadap tindak pidana gratifikasi di Pengadilan Tipikor Semarang dalam tinjauan hukum Islam dan positif&quot;,&quot;author&quot;:[{&quot;family&quot;:&quot;Ulfiyah&quot;,&quot;given&quot;:&quot;Titin&quot;,&quot;parse-names&quot;:false,&quot;dropping-particle&quot;:&quot;&quot;,&quot;non-dropping-particle&quot;:&quot;&quot;}],&quot;issued&quot;:{&quot;date-parts&quot;:[[2017]]},&quot;publisher-place&quot;:&quot;Semarang&quot;,&quot;publisher&quot;:&quot;Universitas Islam Negeri Walisongo&quot;,&quot;container-title-short&quot;:&quot;&quot;},&quot;isTemporary&quot;:false}]},{&quot;citationID&quot;:&quot;MENDELEY_CITATION_f7dea0bc-97a6-4af8-b125-6a6d632730e7&quot;,&quot;properties&quot;:{&quot;noteIndex&quot;:0},&quot;isEdited&quot;:false,&quot;manualOverride&quot;:{&quot;isManuallyOverridden&quot;:false,&quot;citeprocText&quot;:&quot;(Simanjuntak, 2016)&quot;,&quot;manualOverrideText&quot;:&quot;&quot;},&quot;citationTag&quot;:&quot;MENDELEY_CITATION_v3_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&quot;,&quot;citationItems&quot;:[{&quot;id&quot;:&quot;ffb1c68b-2cae-3711-a058-c321fc32ad5a&quot;,&quot;itemData&quot;:{&quot;type&quot;:&quot;report&quot;,&quot;id&quot;:&quot;ffb1c68b-2cae-3711-a058-c321fc32ad5a&quot;,&quot;title&quot;:&quot;MENGUNGKAP TINDAK PIDANA KORUPSI DARI PEMBUKTIAN TERBALIK DAN LAPORAN HARTA KEKAYAAN PENYELENGGARA NEGARA (LHKPN) Oleh&quot;,&quot;author&quot;:[{&quot;family&quot;:&quot;Simanjuntak&quot;,&quot;given&quot;:&quot;Mangisi&quot;,&quot;parse-names&quot;:false,&quot;dropping-particle&quot;:&quot;&quot;,&quot;non-dropping-particle&quot;:&quot;&quot;}],&quot;issued&quot;:{&quot;date-parts&quot;:[[2016]]},&quot;abstract&quot;:&quot;In a formal criminal law system of Indonesia , especially the Code of Criminal Procedure , it is understandable that the burden of proof regarding the existence of criminal offenses committed by the accused is on the Prosecution. In its development , the burden of proof which was originally in the hands of the Prosecution and then shifted to the defendant the burden particularly on corruption. In this case the defendant claimed that he played an active role not as a criminal. The defendant in the courtroom that will make all the burden of proof and if it can not prove the defendant was found guilty of committing a crime. This concept was later called by the reversal of the burden of proof (the reversal burdenof proof) .&quot;,&quot;issue&quot;:&quot;1&quot;,&quot;volume&quot;:&quot;7&quot;,&quot;container-title-short&quot;:&quot;&quot;},&quot;isTemporary&quot;:false}]},{&quot;citationID&quot;:&quot;MENDELEY_CITATION_463e7e64-1998-406b-ba8e-9a86263ae3c9&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DYzZTdlNjQtMTk5OC00MDZiLWJhOGUtOWE4NjI2M2FlM2M5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36d1fbde-0903-4cc4-8f3f-b98c56767b92&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MzZkMWZiZGUtMDkwMy00Y2M0LThmM2YtYjk4YzU2NzY3Yjky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3bb2ad1f-ad3e-47ce-9ff4-685cb26d9c08&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M2JiMmFkMWYtYWQzZS00N2NlLTlmZjQtNjg1Y2IyNmQ5YzA4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38eeab6e-6ba8-476a-ada8-7a4c314401c1&quot;,&quot;properties&quot;:{&quot;noteIndex&quot;:0},&quot;isEdited&quot;:false,&quot;manualOverride&quot;:{&quot;isManuallyOverridden&quot;:false,&quot;citeprocText&quot;:&quot;(Irawan, 2020)&quot;,&quot;manualOverrideText&quot;:&quot;&quot;},&quot;citationTag&quot;:&quot;MENDELEY_CITATION_v3_eyJjaXRhdGlvbklEIjoiTUVOREVMRVlfQ0lUQVRJT05fMzhlZWFiNmUtNmJhOC00NzZhLWFkYTgtN2E0YzMxNDQwMWMx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UycGmpkWEHbb6V760XV2sVoD/g==">CgMxLjA4AHIhMTZLNGxRRm04S3NoSzhXVjREc1l4ajc4ME9mcHpram1F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0D903B-993A-4D37-9F2A-FA05BC53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2582</Words>
  <Characters>17304</Characters>
  <Application>Microsoft Office Word</Application>
  <DocSecurity>0</DocSecurity>
  <Lines>283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2023-09-18T06:35:00Z</dcterms:created>
  <dcterms:modified xsi:type="dcterms:W3CDTF">2023-09-18T06:46:00Z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47bcc3a2c0ecc3bd2051ad89ec639e305339eed6fa3d645a8362296a0b2d1b3c</vt:lpwstr>
  </property>
</Properties>
</file>