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69859" w14:textId="77777777" w:rsidR="00B2264F" w:rsidRPr="00DC188F" w:rsidRDefault="006E502C" w:rsidP="00DC188F">
      <w:pPr>
        <w:spacing w:line="360" w:lineRule="auto"/>
        <w:jc w:val="center"/>
        <w:rPr>
          <w:rFonts w:ascii="Times New Roman" w:hAnsi="Times New Roman" w:cs="Times New Roman"/>
          <w:b/>
          <w:sz w:val="28"/>
          <w:szCs w:val="28"/>
        </w:rPr>
      </w:pPr>
      <w:r w:rsidRPr="00DC188F">
        <w:rPr>
          <w:rFonts w:ascii="Times New Roman" w:hAnsi="Times New Roman" w:cs="Times New Roman"/>
          <w:b/>
          <w:sz w:val="28"/>
          <w:szCs w:val="28"/>
        </w:rPr>
        <w:t>Analisis Komparatif Hukum Pidana Terorisme: Studi Kasus Antara Negara Indonesia dan Malaysia</w:t>
      </w:r>
    </w:p>
    <w:p w14:paraId="595F3C7D" w14:textId="34E3A8FF" w:rsidR="006E502C" w:rsidRPr="00DC188F" w:rsidRDefault="006E502C" w:rsidP="00DC188F">
      <w:pPr>
        <w:spacing w:line="360" w:lineRule="auto"/>
        <w:rPr>
          <w:rFonts w:ascii="Times New Roman" w:hAnsi="Times New Roman" w:cs="Times New Roman"/>
          <w:b/>
          <w:sz w:val="28"/>
          <w:szCs w:val="28"/>
        </w:rPr>
      </w:pPr>
    </w:p>
    <w:p w14:paraId="1CD7164E" w14:textId="3CF747ED" w:rsidR="006E502C" w:rsidRDefault="006E502C" w:rsidP="00DC188F">
      <w:pPr>
        <w:pStyle w:val="ListParagraph"/>
        <w:numPr>
          <w:ilvl w:val="0"/>
          <w:numId w:val="1"/>
        </w:numPr>
        <w:spacing w:line="360" w:lineRule="auto"/>
        <w:rPr>
          <w:rFonts w:ascii="Times New Roman" w:hAnsi="Times New Roman" w:cs="Times New Roman"/>
          <w:b/>
          <w:sz w:val="24"/>
          <w:szCs w:val="24"/>
        </w:rPr>
      </w:pPr>
      <w:r w:rsidRPr="00DC188F">
        <w:rPr>
          <w:rFonts w:ascii="Times New Roman" w:hAnsi="Times New Roman" w:cs="Times New Roman"/>
          <w:b/>
          <w:sz w:val="24"/>
          <w:szCs w:val="24"/>
        </w:rPr>
        <w:t>Abstrak</w:t>
      </w:r>
    </w:p>
    <w:p w14:paraId="758F14DA" w14:textId="5584A859" w:rsidR="00DC188F" w:rsidRDefault="00DC188F" w:rsidP="00DC188F">
      <w:pPr>
        <w:pStyle w:val="ListParagraph"/>
        <w:spacing w:line="360" w:lineRule="auto"/>
        <w:ind w:firstLine="720"/>
        <w:jc w:val="both"/>
        <w:rPr>
          <w:rFonts w:ascii="Times New Roman" w:hAnsi="Times New Roman" w:cs="Times New Roman"/>
          <w:sz w:val="24"/>
          <w:szCs w:val="24"/>
        </w:rPr>
      </w:pPr>
      <w:r w:rsidRPr="00DC188F">
        <w:rPr>
          <w:rFonts w:ascii="Times New Roman" w:hAnsi="Times New Roman" w:cs="Times New Roman"/>
          <w:sz w:val="24"/>
          <w:szCs w:val="24"/>
        </w:rPr>
        <w:t>Kejahatan terorisme telah menjadi isu yang mendapat perhatian global, mempengaruhi banyak negara termasuk Indonesia dan Malaysia. Sebagai dua negara dengan hubungan historis dan budaya yang dekat, cara mereka menangani isu terorisme menarik untuk dikaji. Studi ini bertujuan untuk membandingkan pendekatan hukum pidana terkait terorisme di kedua negara.</w:t>
      </w:r>
    </w:p>
    <w:p w14:paraId="5D3B3433" w14:textId="072B6BB4" w:rsidR="00DC188F" w:rsidRDefault="00DC188F" w:rsidP="00DC188F">
      <w:pPr>
        <w:pStyle w:val="ListParagraph"/>
        <w:spacing w:line="360" w:lineRule="auto"/>
        <w:ind w:firstLine="720"/>
        <w:jc w:val="both"/>
        <w:rPr>
          <w:rFonts w:ascii="Times New Roman" w:hAnsi="Times New Roman" w:cs="Times New Roman"/>
          <w:sz w:val="24"/>
          <w:szCs w:val="24"/>
        </w:rPr>
      </w:pPr>
      <w:r w:rsidRPr="00DC188F">
        <w:rPr>
          <w:rFonts w:ascii="Times New Roman" w:hAnsi="Times New Roman" w:cs="Times New Roman"/>
          <w:sz w:val="24"/>
          <w:szCs w:val="24"/>
        </w:rPr>
        <w:t>Penelitian ini dilakukan dengan analisis komparatif dari hukum pidana yang berkaitan dengan terorisme di Indonesia dan Malaysia. Pendekatan ini melibatkan pemahaman mendalam tentang teks hukum, interpretasi, dan penerapannya dalam konteks lokal masing-masing negara.</w:t>
      </w:r>
    </w:p>
    <w:p w14:paraId="7D0220AF" w14:textId="65FE1A61" w:rsidR="00DC188F" w:rsidRDefault="00DC188F" w:rsidP="00DC188F">
      <w:pPr>
        <w:pStyle w:val="ListParagraph"/>
        <w:spacing w:line="360" w:lineRule="auto"/>
        <w:ind w:firstLine="720"/>
        <w:jc w:val="both"/>
        <w:rPr>
          <w:rFonts w:ascii="Times New Roman" w:hAnsi="Times New Roman" w:cs="Times New Roman"/>
          <w:sz w:val="24"/>
          <w:szCs w:val="24"/>
        </w:rPr>
      </w:pPr>
      <w:r w:rsidRPr="00DC188F">
        <w:rPr>
          <w:rFonts w:ascii="Times New Roman" w:hAnsi="Times New Roman" w:cs="Times New Roman"/>
          <w:sz w:val="24"/>
          <w:szCs w:val="24"/>
        </w:rPr>
        <w:t>Hasil analisis menunjukkan bahwa, meskipun ada kesamaan dalam beberapa aspek, ada perbedaan signifikan dalam pendekatan kedua negara dalam mengatasi terorisme. Indonesia lebih condong pada pendekatan represif dengan penegakan hukum yang ketat, sementara Malaysia lebih mementingkan pendekatan pencegahan melalui edukasi dan deradikalisasi. Faktor-faktor sosial, budaya, ekonomi, dan politik di kedua negara memiliki peran penting dalam membentuk strategi dan kebijakan masing-masing. Keduanya menunjukkan betapa pentingnya adaptasi strategi berdasarkan konteks lokal, serta pertimbangan multifaset dalam memerangi terorisme. Untuk efektivitas pemberantasan terorisme di masa depan, kedua negara mungkin perlu mempertimbangkan kombinasi pendekatan yang disesuaikan dengan kebutuhan dan tantangan masing-masing.</w:t>
      </w:r>
    </w:p>
    <w:p w14:paraId="6046EDCD" w14:textId="01407274" w:rsidR="00DC188F" w:rsidRDefault="00DC188F" w:rsidP="00DC188F">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b/>
          <w:sz w:val="24"/>
          <w:szCs w:val="24"/>
        </w:rPr>
        <w:t xml:space="preserve">Kata Kunci: </w:t>
      </w:r>
      <w:r w:rsidRPr="00DC188F">
        <w:rPr>
          <w:rFonts w:ascii="Times New Roman" w:hAnsi="Times New Roman" w:cs="Times New Roman"/>
          <w:sz w:val="24"/>
          <w:szCs w:val="24"/>
        </w:rPr>
        <w:t>Terorisme, Indonesia, Malaysia, Hukum Pidana, Analisis Komparatif</w:t>
      </w:r>
      <w:r>
        <w:rPr>
          <w:rFonts w:ascii="Times New Roman" w:hAnsi="Times New Roman" w:cs="Times New Roman"/>
          <w:sz w:val="24"/>
          <w:szCs w:val="24"/>
        </w:rPr>
        <w:t>.</w:t>
      </w:r>
    </w:p>
    <w:p w14:paraId="20736EE9" w14:textId="07729EEA" w:rsidR="00DC188F" w:rsidRDefault="00DC188F" w:rsidP="00DC188F">
      <w:pPr>
        <w:pStyle w:val="ListParagraph"/>
        <w:spacing w:line="360" w:lineRule="auto"/>
        <w:ind w:left="0" w:firstLine="720"/>
        <w:jc w:val="both"/>
        <w:rPr>
          <w:rFonts w:ascii="Times New Roman" w:hAnsi="Times New Roman" w:cs="Times New Roman"/>
          <w:sz w:val="24"/>
          <w:szCs w:val="24"/>
        </w:rPr>
      </w:pPr>
    </w:p>
    <w:p w14:paraId="6ADAAF80" w14:textId="628BA65A" w:rsidR="00DC188F" w:rsidRPr="00DC188F" w:rsidRDefault="00DC188F" w:rsidP="00DC188F">
      <w:pPr>
        <w:pStyle w:val="NormalWeb"/>
        <w:spacing w:line="360" w:lineRule="auto"/>
        <w:ind w:left="720" w:firstLine="720"/>
        <w:jc w:val="both"/>
        <w:rPr>
          <w:rFonts w:eastAsiaTheme="minorHAnsi"/>
          <w:i/>
          <w:lang w:eastAsia="en-US"/>
        </w:rPr>
      </w:pPr>
      <w:r w:rsidRPr="00DC188F">
        <w:rPr>
          <w:rFonts w:eastAsiaTheme="minorHAnsi"/>
          <w:i/>
          <w:lang w:eastAsia="en-US"/>
        </w:rPr>
        <w:t>Terrorist crimes have become an issue that has received global attention, affecting many countries, including Indonesia and Malaysia. As two countries with close historical and cultural ties, the way they handle the issue of terrorism is interesting to study. This study aims to compare criminal law approaches related to terrorism in the two countries.</w:t>
      </w:r>
    </w:p>
    <w:p w14:paraId="327E4CDA" w14:textId="32571DE3" w:rsidR="00DC188F" w:rsidRPr="00DC188F" w:rsidRDefault="00DC188F" w:rsidP="00DC188F">
      <w:pPr>
        <w:pStyle w:val="NormalWeb"/>
        <w:spacing w:line="360" w:lineRule="auto"/>
        <w:ind w:left="720" w:firstLine="720"/>
        <w:jc w:val="both"/>
        <w:rPr>
          <w:rFonts w:eastAsiaTheme="minorHAnsi"/>
          <w:i/>
          <w:lang w:eastAsia="en-US"/>
        </w:rPr>
      </w:pPr>
      <w:r w:rsidRPr="00DC188F">
        <w:rPr>
          <w:rFonts w:eastAsiaTheme="minorHAnsi"/>
          <w:i/>
          <w:lang w:eastAsia="en-US"/>
        </w:rPr>
        <w:lastRenderedPageBreak/>
        <w:t>This research was conducted with a comparative analysis of criminal law relating to terrorism in Indonesia and Malaysia. This approach involves an in-depth understanding of legal texts, their interpretation, and their application in the local context of each country.</w:t>
      </w:r>
    </w:p>
    <w:p w14:paraId="6ACAC288" w14:textId="7F95C042" w:rsidR="00DC188F" w:rsidRPr="00DC188F" w:rsidRDefault="00DC188F" w:rsidP="00DC188F">
      <w:pPr>
        <w:pStyle w:val="NormalWeb"/>
        <w:spacing w:line="360" w:lineRule="auto"/>
        <w:ind w:left="720" w:firstLine="720"/>
        <w:jc w:val="both"/>
        <w:rPr>
          <w:rFonts w:eastAsiaTheme="minorHAnsi"/>
          <w:i/>
          <w:lang w:eastAsia="en-US"/>
        </w:rPr>
      </w:pPr>
      <w:r w:rsidRPr="00DC188F">
        <w:rPr>
          <w:rFonts w:eastAsiaTheme="minorHAnsi"/>
          <w:i/>
          <w:lang w:eastAsia="en-US"/>
        </w:rPr>
        <w:t>The results of the analysis show that, although there are similarities in several aspects, there are significant differences in the two countries' approaches to dealing with terrorism. Indonesia is more inclined to a repressive approach with strict law enforcement, while Malaysia is more concerned with a preventive approach through education and deradicalization. Social, cultural, economic, and political factors in both countries play an important role in shaping their respective strategies and policies. Both show how important it is to adapt strategies based on local context as well as multifaceted considerations in fighting terrorism. For future effectiveness in combating terrorism, both countries may need to consider a combination of approaches tailored to their respective needs and challenges.</w:t>
      </w:r>
    </w:p>
    <w:p w14:paraId="534733D0" w14:textId="7DE1DD8B" w:rsidR="00DC188F" w:rsidRPr="00DC188F" w:rsidRDefault="00DC188F" w:rsidP="00DC188F">
      <w:pPr>
        <w:pStyle w:val="NormalWeb"/>
        <w:spacing w:line="360" w:lineRule="auto"/>
        <w:ind w:firstLine="720"/>
        <w:jc w:val="both"/>
        <w:rPr>
          <w:rFonts w:eastAsiaTheme="minorHAnsi"/>
          <w:i/>
          <w:lang w:eastAsia="en-US"/>
        </w:rPr>
      </w:pPr>
      <w:r w:rsidRPr="00DC188F">
        <w:rPr>
          <w:rFonts w:eastAsiaTheme="minorHAnsi"/>
          <w:b/>
          <w:i/>
          <w:lang w:eastAsia="en-US"/>
        </w:rPr>
        <w:t>Keywords:</w:t>
      </w:r>
      <w:r w:rsidRPr="00DC188F">
        <w:rPr>
          <w:rFonts w:eastAsiaTheme="minorHAnsi"/>
          <w:i/>
          <w:lang w:eastAsia="en-US"/>
        </w:rPr>
        <w:t xml:space="preserve"> terrorism, Indonesia, Malaysia, criminal law, comparative analysis.</w:t>
      </w:r>
    </w:p>
    <w:p w14:paraId="1C999E62" w14:textId="5345C6DA" w:rsidR="006E502C" w:rsidRPr="00DC188F" w:rsidRDefault="006E502C" w:rsidP="00DC188F">
      <w:pPr>
        <w:pStyle w:val="ListParagraph"/>
        <w:numPr>
          <w:ilvl w:val="0"/>
          <w:numId w:val="1"/>
        </w:numPr>
        <w:spacing w:line="360" w:lineRule="auto"/>
        <w:rPr>
          <w:rFonts w:ascii="Times New Roman" w:hAnsi="Times New Roman" w:cs="Times New Roman"/>
          <w:b/>
          <w:sz w:val="24"/>
          <w:szCs w:val="24"/>
        </w:rPr>
      </w:pPr>
      <w:r w:rsidRPr="00DC188F">
        <w:rPr>
          <w:rFonts w:ascii="Times New Roman" w:hAnsi="Times New Roman" w:cs="Times New Roman"/>
          <w:b/>
          <w:sz w:val="24"/>
          <w:szCs w:val="24"/>
        </w:rPr>
        <w:t>Pendahuluan</w:t>
      </w:r>
    </w:p>
    <w:p w14:paraId="4B551122" w14:textId="325C015A" w:rsidR="007C03FB" w:rsidRPr="00DC188F" w:rsidRDefault="007C03FB" w:rsidP="00DC188F">
      <w:pPr>
        <w:pStyle w:val="ListParagraph"/>
        <w:spacing w:line="360" w:lineRule="auto"/>
        <w:ind w:firstLine="720"/>
        <w:jc w:val="both"/>
        <w:rPr>
          <w:rFonts w:ascii="Times New Roman" w:hAnsi="Times New Roman" w:cs="Times New Roman"/>
          <w:sz w:val="24"/>
          <w:szCs w:val="24"/>
        </w:rPr>
      </w:pPr>
      <w:r w:rsidRPr="00DC188F">
        <w:rPr>
          <w:rFonts w:ascii="Times New Roman" w:hAnsi="Times New Roman" w:cs="Times New Roman"/>
          <w:sz w:val="24"/>
          <w:szCs w:val="24"/>
        </w:rPr>
        <w:t xml:space="preserve">Kejahatan terorisme diidentifikasi sebagai bentuk kriminalitas dengan cakupan global yang sangat mengerikan bagi masyarakat. Berbagai insiden terorisme telah terjadi di seluruh dunia, baik di negara-negara maju maupun yang sedang berkembang, seringkali menghasilkan korban dari berbagai latar belakang. Mengakui seriusnya ancaman ini, Perserikatan Bangsa-Bangsa dalam pertemuan mereka di Wina, Austria pada tahun 2000 memfokuskan pada pencegahan kejahatan dan perlakuan terhadap pelaku, menyoroti terorisme sebagai bentuk kekerasan yang memerlukan respons khusus </w:t>
      </w:r>
      <w:sdt>
        <w:sdtPr>
          <w:rPr>
            <w:rFonts w:ascii="Times New Roman" w:hAnsi="Times New Roman" w:cs="Times New Roman"/>
            <w:color w:val="000000"/>
            <w:sz w:val="24"/>
            <w:szCs w:val="24"/>
          </w:rPr>
          <w:tag w:val="MENDELEY_CITATION_v3_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"/>
          <w:id w:val="-1273544442"/>
          <w:placeholder>
            <w:docPart w:val="DefaultPlaceholder_-1854013440"/>
          </w:placeholder>
        </w:sdtPr>
        <w:sdtEndPr/>
        <w:sdtContent>
          <w:r w:rsidR="00DC188F" w:rsidRPr="00DC188F">
            <w:rPr>
              <w:rFonts w:ascii="Times New Roman" w:hAnsi="Times New Roman" w:cs="Times New Roman"/>
              <w:color w:val="000000"/>
              <w:sz w:val="24"/>
              <w:szCs w:val="24"/>
            </w:rPr>
            <w:t>(Soetridai, 2008)</w:t>
          </w:r>
        </w:sdtContent>
      </w:sdt>
      <w:r w:rsidRPr="00DC188F">
        <w:rPr>
          <w:rFonts w:ascii="Times New Roman" w:hAnsi="Times New Roman" w:cs="Times New Roman"/>
          <w:sz w:val="24"/>
          <w:szCs w:val="24"/>
        </w:rPr>
        <w:t>.</w:t>
      </w:r>
    </w:p>
    <w:p w14:paraId="4F114DF1" w14:textId="2131F2AC" w:rsidR="008A1CFC" w:rsidRPr="00DC188F" w:rsidRDefault="008A1CFC" w:rsidP="00DC188F">
      <w:pPr>
        <w:pStyle w:val="ListParagraph"/>
        <w:spacing w:line="360" w:lineRule="auto"/>
        <w:ind w:firstLine="720"/>
        <w:jc w:val="both"/>
        <w:rPr>
          <w:rFonts w:ascii="Times New Roman" w:hAnsi="Times New Roman" w:cs="Times New Roman"/>
          <w:sz w:val="24"/>
          <w:szCs w:val="24"/>
        </w:rPr>
      </w:pPr>
      <w:r w:rsidRPr="00DC188F">
        <w:rPr>
          <w:rFonts w:ascii="Times New Roman" w:hAnsi="Times New Roman" w:cs="Times New Roman"/>
          <w:sz w:val="24"/>
          <w:szCs w:val="24"/>
        </w:rPr>
        <w:t xml:space="preserve">Istilah "terorisme" bermula dari kata Latin "Terrere", yang memiliki arti "bergetar", serta merupakan bentuk kata kerja dari "Terrorem" yang berarti ketakutan ekstrem. Berdasarkan Kamus Besar Bahasa Indonesia, "terorisme" didefinisikan sebagai upaya dalam menciptakan rasa takut atau kejam. Namun, sampai sekarang, belum ada definisi terorisme yang seragam. Definisi tentang terorisme menurut para ahli hukum dan konvensi-konvensi internasional biasanya berdasarkan pada karakteristik tindakan tersebut. Kesulitan dalam mendefinisikan terorisme timbul karena interpretasi terhadap terorisme akan bervariasi tergantung pada situasi dan </w:t>
      </w:r>
      <w:r w:rsidRPr="00DC188F">
        <w:rPr>
          <w:rFonts w:ascii="Times New Roman" w:hAnsi="Times New Roman" w:cs="Times New Roman"/>
          <w:sz w:val="24"/>
          <w:szCs w:val="24"/>
        </w:rPr>
        <w:lastRenderedPageBreak/>
        <w:t>struktur pemerintahan sebuah negara ketika definisi tersebut dibuat</w:t>
      </w:r>
      <w:r w:rsidRPr="00DC188F">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"/>
          <w:id w:val="-658534736"/>
          <w:placeholder>
            <w:docPart w:val="DefaultPlaceholder_-1854013440"/>
          </w:placeholder>
        </w:sdtPr>
        <w:sdtContent>
          <w:r w:rsidR="00DC188F" w:rsidRPr="00DC188F">
            <w:rPr>
              <w:rFonts w:ascii="Times New Roman" w:eastAsia="Times New Roman" w:hAnsi="Times New Roman" w:cs="Times New Roman"/>
            </w:rPr>
            <w:t>(Putra &amp; Lukitasari, 2019)</w:t>
          </w:r>
        </w:sdtContent>
      </w:sdt>
      <w:r w:rsidRPr="00DC188F">
        <w:rPr>
          <w:rFonts w:ascii="Times New Roman" w:hAnsi="Times New Roman" w:cs="Times New Roman"/>
          <w:sz w:val="24"/>
          <w:szCs w:val="24"/>
        </w:rPr>
        <w:t>.</w:t>
      </w:r>
    </w:p>
    <w:p w14:paraId="31D8CD1D" w14:textId="297D7637" w:rsidR="007C03FB" w:rsidRPr="00DC188F" w:rsidRDefault="007C03FB" w:rsidP="00DC188F">
      <w:pPr>
        <w:pStyle w:val="ListParagraph"/>
        <w:spacing w:line="360" w:lineRule="auto"/>
        <w:ind w:firstLine="720"/>
        <w:jc w:val="both"/>
        <w:rPr>
          <w:rFonts w:ascii="Times New Roman" w:hAnsi="Times New Roman" w:cs="Times New Roman"/>
          <w:sz w:val="24"/>
          <w:szCs w:val="24"/>
        </w:rPr>
      </w:pPr>
      <w:r w:rsidRPr="00DC188F">
        <w:rPr>
          <w:rFonts w:ascii="Times New Roman" w:hAnsi="Times New Roman" w:cs="Times New Roman"/>
          <w:sz w:val="24"/>
          <w:szCs w:val="24"/>
        </w:rPr>
        <w:t xml:space="preserve">Terorisme diakui sebagai kejahatan serius yang bisa merongrong kedaulatan sebuah bangsa. </w:t>
      </w:r>
      <w:r w:rsidR="008A1CFC" w:rsidRPr="00DC188F">
        <w:rPr>
          <w:rFonts w:ascii="Times New Roman" w:hAnsi="Times New Roman" w:cs="Times New Roman"/>
          <w:sz w:val="24"/>
          <w:szCs w:val="24"/>
        </w:rPr>
        <w:t xml:space="preserve">Berdasarkan prinsip yang dinyatakan dalam Preambule Undang-Undang Dasar 1945, Republik Indonesia didirikan sebagai negara berbasis hukum dengan komitmen untuk menjaga lingkungan yang aman, damai, dan sejahtera bagi warganya dan berpartisipasi dalam upaya perdamaian global. Dalam mengejar visi ini, tugas esensial pemerintah adalah untuk menjaga kedaulatan dan melindungi warganya dari potensi ancaman, baik yang berasal dari dalam maupun luar negeri. Di antara berbagai ancaman, terorisme telah menjadi topik yang sering mendapat sorotan di berbagai media, baik cetak maupun elektronik, belakangan ini </w:t>
      </w:r>
      <w:sdt>
        <w:sdtPr>
          <w:rPr>
            <w:rFonts w:ascii="Times New Roman" w:hAnsi="Times New Roman" w:cs="Times New Roman"/>
            <w:color w:val="000000"/>
            <w:sz w:val="24"/>
            <w:szCs w:val="24"/>
          </w:rPr>
          <w:tag w:val="MENDELEY_CITATION_v3_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"/>
          <w:id w:val="1957281585"/>
          <w:placeholder>
            <w:docPart w:val="80D725287ED8449D92F060F93587AF07"/>
          </w:placeholder>
        </w:sdtPr>
        <w:sdtContent>
          <w:r w:rsidR="00DC188F" w:rsidRPr="00DC188F">
            <w:rPr>
              <w:rFonts w:ascii="Times New Roman" w:hAnsi="Times New Roman" w:cs="Times New Roman"/>
              <w:color w:val="000000"/>
              <w:sz w:val="24"/>
              <w:szCs w:val="24"/>
            </w:rPr>
            <w:t>(Firmansyah, 2011)</w:t>
          </w:r>
        </w:sdtContent>
      </w:sdt>
      <w:r w:rsidR="008A1CFC" w:rsidRPr="00DC188F">
        <w:rPr>
          <w:rFonts w:ascii="Times New Roman" w:hAnsi="Times New Roman" w:cs="Times New Roman"/>
          <w:sz w:val="24"/>
          <w:szCs w:val="24"/>
        </w:rPr>
        <w:t>.</w:t>
      </w:r>
      <w:r w:rsidRPr="00DC188F">
        <w:rPr>
          <w:rFonts w:ascii="Times New Roman" w:hAnsi="Times New Roman" w:cs="Times New Roman"/>
          <w:sz w:val="24"/>
          <w:szCs w:val="24"/>
        </w:rPr>
        <w:t xml:space="preserve"> Demikian pula, Konstitusi Malaysia, khususnya dalam Pasal 5 Konstitusi Federal Malaysia, memberikan jaminan perlindungan serupa. Bahkan dalam konteks terorisme, komitmen perlindungan ini tetap ditegakkan </w:t>
      </w:r>
      <w:sdt>
        <w:sdtPr>
          <w:rPr>
            <w:rFonts w:ascii="Times New Roman" w:hAnsi="Times New Roman" w:cs="Times New Roman"/>
          </w:rPr>
          <w:tag w:val="MENDELEY_CITATION_v3_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"/>
          <w:id w:val="-1345311025"/>
          <w:placeholder>
            <w:docPart w:val="DefaultPlaceholder_-1854013440"/>
          </w:placeholder>
        </w:sdtPr>
        <w:sdtEndPr/>
        <w:sdtContent>
          <w:r w:rsidR="00DC188F" w:rsidRPr="00DC188F">
            <w:rPr>
              <w:rFonts w:ascii="Times New Roman" w:eastAsia="Times New Roman" w:hAnsi="Times New Roman" w:cs="Times New Roman"/>
            </w:rPr>
            <w:t>(Adesta &amp; Priyanto, 2022)</w:t>
          </w:r>
        </w:sdtContent>
      </w:sdt>
      <w:r w:rsidRPr="00DC188F">
        <w:rPr>
          <w:rFonts w:ascii="Times New Roman" w:hAnsi="Times New Roman" w:cs="Times New Roman"/>
          <w:sz w:val="24"/>
          <w:szCs w:val="24"/>
        </w:rPr>
        <w:t>.</w:t>
      </w:r>
    </w:p>
    <w:p w14:paraId="27678681" w14:textId="6E337C27" w:rsidR="005C397D" w:rsidRPr="00DC188F" w:rsidRDefault="005C397D" w:rsidP="00DC188F">
      <w:pPr>
        <w:pStyle w:val="ListParagraph"/>
        <w:spacing w:line="360" w:lineRule="auto"/>
        <w:ind w:firstLine="720"/>
        <w:jc w:val="both"/>
        <w:rPr>
          <w:rFonts w:ascii="Times New Roman" w:hAnsi="Times New Roman" w:cs="Times New Roman"/>
          <w:sz w:val="24"/>
          <w:szCs w:val="24"/>
        </w:rPr>
      </w:pPr>
      <w:r w:rsidRPr="00DC188F">
        <w:rPr>
          <w:rFonts w:ascii="Times New Roman" w:hAnsi="Times New Roman" w:cs="Times New Roman"/>
          <w:sz w:val="24"/>
          <w:szCs w:val="24"/>
        </w:rPr>
        <w:t xml:space="preserve">Dalam era globalisasi saat ini, ancaman terorisme menjadi isu kritis yang dihadapi oleh banyak negara, termasuk di kawasan Asia Tenggara. Indonesia dan Malaysia, sebagai dua negara tetangga dengan hubungan historis dan budaya yang kuat, keduanya telah mengalami berbagai insiden terorisme yang menghancurkan dan mengguncang stabilitas regional mereka. Kedua negara ini memegang peran kunci dalam menjaga stabilitas dan keamanan di kawasan ini, membuat analisis komparatif hukum pidana mereka terkait terorisme menjadi penting untuk dipelajari. </w:t>
      </w:r>
    </w:p>
    <w:p w14:paraId="1372C79F" w14:textId="5149824F" w:rsidR="005C397D" w:rsidRPr="00DC188F" w:rsidRDefault="005C397D" w:rsidP="00DC188F">
      <w:pPr>
        <w:pStyle w:val="ListParagraph"/>
        <w:spacing w:line="360" w:lineRule="auto"/>
        <w:ind w:firstLine="720"/>
        <w:jc w:val="both"/>
        <w:rPr>
          <w:rFonts w:ascii="Times New Roman" w:hAnsi="Times New Roman" w:cs="Times New Roman"/>
          <w:sz w:val="24"/>
          <w:szCs w:val="24"/>
        </w:rPr>
      </w:pPr>
      <w:r w:rsidRPr="00DC188F">
        <w:rPr>
          <w:rFonts w:ascii="Times New Roman" w:hAnsi="Times New Roman" w:cs="Times New Roman"/>
          <w:sz w:val="24"/>
          <w:szCs w:val="24"/>
        </w:rPr>
        <w:t xml:space="preserve">Terorisme tidak hanya mengancam keamanan individu, tetapi juga integritas dan kedaulatan suatu negara. Sebagai respons, banyak negara, termasuk Indonesia dan Malaysia, telah merevisi dan memperkuat kerangka hukum mereka untuk memerangi dan mencegah tindakan terorisme. Namun, pendekatan masing-masing negara dalam merumuskan hukum dan kebijakan mereka mungkin berbeda berdasarkan konteks sosial, budaya, dan politik yang ada. </w:t>
      </w:r>
      <w:r w:rsidR="00AB0434" w:rsidRPr="00DC188F">
        <w:rPr>
          <w:rFonts w:ascii="Times New Roman" w:hAnsi="Times New Roman" w:cs="Times New Roman"/>
          <w:sz w:val="24"/>
          <w:szCs w:val="24"/>
        </w:rPr>
        <w:t>Penanggulangan kejahatan terorisme tidak hanya berkaitan dengan isu hukum dan penegakan hukumnya saja, tetapi juga terkait dengan aspek sosial, budaya, dan ekonomi yang erat kaitannya dengan ketahanan nasional suatu negara</w:t>
      </w:r>
      <w:r w:rsidR="00AB0434" w:rsidRPr="00DC188F">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"/>
          <w:id w:val="1799258156"/>
          <w:placeholder>
            <w:docPart w:val="DefaultPlaceholder_-1854013440"/>
          </w:placeholder>
        </w:sdtPr>
        <w:sdtContent>
          <w:r w:rsidR="00DC188F" w:rsidRPr="00DC188F">
            <w:rPr>
              <w:rFonts w:ascii="Times New Roman" w:hAnsi="Times New Roman" w:cs="Times New Roman"/>
              <w:color w:val="000000"/>
              <w:sz w:val="24"/>
              <w:szCs w:val="24"/>
            </w:rPr>
            <w:t>(Anakotta, 2020)</w:t>
          </w:r>
        </w:sdtContent>
      </w:sdt>
      <w:r w:rsidR="00AB0434" w:rsidRPr="00DC188F">
        <w:rPr>
          <w:rFonts w:ascii="Times New Roman" w:hAnsi="Times New Roman" w:cs="Times New Roman"/>
          <w:sz w:val="24"/>
          <w:szCs w:val="24"/>
        </w:rPr>
        <w:t>.</w:t>
      </w:r>
    </w:p>
    <w:p w14:paraId="0A25F50D" w14:textId="4C2E7F88" w:rsidR="008A75DD" w:rsidRPr="00DC188F" w:rsidRDefault="008A75DD" w:rsidP="00DC188F">
      <w:pPr>
        <w:pStyle w:val="ListParagraph"/>
        <w:spacing w:line="360" w:lineRule="auto"/>
        <w:ind w:firstLine="720"/>
        <w:jc w:val="both"/>
        <w:rPr>
          <w:rFonts w:ascii="Times New Roman" w:hAnsi="Times New Roman" w:cs="Times New Roman"/>
          <w:sz w:val="24"/>
          <w:szCs w:val="24"/>
        </w:rPr>
      </w:pPr>
      <w:r w:rsidRPr="00DC188F">
        <w:rPr>
          <w:rFonts w:ascii="Times New Roman" w:hAnsi="Times New Roman" w:cs="Times New Roman"/>
          <w:sz w:val="24"/>
          <w:szCs w:val="24"/>
        </w:rPr>
        <w:t xml:space="preserve">Pemerintah Indonesia telah menjalani proses panjang dalam menghadapi isu terorisme. Hal ini dimulai dari tragedi Bom Bali pada 12 Oktober 2002 yang menewaskan sejumlah warga negara asing. Sebagai tanggapan atas tragedi tersebut, di bawah kepemimpinan Presiden Megawati, Indonesia merilis Peraturan Pemerintah </w:t>
      </w:r>
      <w:r w:rsidRPr="00DC188F">
        <w:rPr>
          <w:rFonts w:ascii="Times New Roman" w:hAnsi="Times New Roman" w:cs="Times New Roman"/>
          <w:sz w:val="24"/>
          <w:szCs w:val="24"/>
        </w:rPr>
        <w:lastRenderedPageBreak/>
        <w:t>Pengganti Undang-Undang (Perppu) Nomor 1 tahun 2002 pada tanggal 18 Oktober 2002, yang berkaitan dengan Pemberantasan Tindak Pidana Terorisme, serta Perppu Nomor 2 tahun 2002 mengenai penerapan Perppu Nomor 1 tahun 2002 khusus untuk kasus Bom Bali. Kedua regulasi ini kemudian diperkuat dengan disahkannya menjadi Undang-Undang, yakni Undang-Undang Republik Indonesia Nomor 15 tahun 2003 dan Nomor 16 tahun 2003. Selanjutnya, Undang-Undang Republik Indonesia Nomor 15 tahun 2005 menjadi landasan hukum utama dalam penangkapan, penindakan, dan pemberantasan tindakan teroris di Indonesia</w:t>
      </w:r>
      <w:r w:rsidRPr="00DC188F">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"/>
          <w:id w:val="101154344"/>
          <w:placeholder>
            <w:docPart w:val="DefaultPlaceholder_-1854013440"/>
          </w:placeholder>
        </w:sdtPr>
        <w:sdtContent>
          <w:r w:rsidR="00DC188F" w:rsidRPr="00DC188F">
            <w:rPr>
              <w:rFonts w:ascii="Times New Roman" w:hAnsi="Times New Roman" w:cs="Times New Roman"/>
              <w:color w:val="000000"/>
              <w:sz w:val="24"/>
              <w:szCs w:val="24"/>
            </w:rPr>
            <w:t>(Rachma, 2020)</w:t>
          </w:r>
        </w:sdtContent>
      </w:sdt>
      <w:r w:rsidRPr="00DC188F">
        <w:rPr>
          <w:rFonts w:ascii="Times New Roman" w:hAnsi="Times New Roman" w:cs="Times New Roman"/>
          <w:sz w:val="24"/>
          <w:szCs w:val="24"/>
        </w:rPr>
        <w:t>.</w:t>
      </w:r>
    </w:p>
    <w:p w14:paraId="07A97855" w14:textId="33FAAA70" w:rsidR="00417388" w:rsidRPr="00DC188F" w:rsidRDefault="00417388" w:rsidP="00DC188F">
      <w:pPr>
        <w:pStyle w:val="ListParagraph"/>
        <w:spacing w:line="360" w:lineRule="auto"/>
        <w:ind w:firstLine="720"/>
        <w:jc w:val="both"/>
        <w:rPr>
          <w:rFonts w:ascii="Times New Roman" w:hAnsi="Times New Roman" w:cs="Times New Roman"/>
          <w:sz w:val="24"/>
          <w:szCs w:val="24"/>
        </w:rPr>
      </w:pPr>
      <w:r w:rsidRPr="00DC188F">
        <w:rPr>
          <w:rFonts w:ascii="Times New Roman" w:hAnsi="Times New Roman" w:cs="Times New Roman"/>
          <w:sz w:val="24"/>
          <w:szCs w:val="24"/>
        </w:rPr>
        <w:t>Sementara itu, s</w:t>
      </w:r>
      <w:r w:rsidRPr="00DC188F">
        <w:rPr>
          <w:rFonts w:ascii="Times New Roman" w:hAnsi="Times New Roman" w:cs="Times New Roman"/>
          <w:sz w:val="24"/>
          <w:szCs w:val="24"/>
        </w:rPr>
        <w:t>istem hukum pidana di Malaysia yang dikenal sebagai Hukum Pidana Malaysia bertanggung jawab atas pengaturan kegiatan kriminal di negara tersebut. Terdiri dari sebuah buku dengan 23 bab dan 511 pasal, kode ini mencakup berbagai regulasi terkait kejahatan di Malaysia. Diterapkan pertama kali pada tahun 1936, KUHP Malaysia mulai berlaku efektif pada 31 Maret 1976 dan masih berlaku hingga kini. Dalam KUHP Malaysia, tindakan terorisme dan pelanggaran-pelanggaran yang terkait dengannya diatur dengan detail. Ketentuan hukuman berat dalam KUHP Malaysia dianggap sebagai langkah preventif dan represif yang efektif dalam melawan ancaman dari terorisme</w:t>
      </w:r>
      <w:r w:rsidRPr="00DC188F">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"/>
          <w:id w:val="298814601"/>
          <w:placeholder>
            <w:docPart w:val="DefaultPlaceholder_-1854013440"/>
          </w:placeholder>
        </w:sdtPr>
        <w:sdtContent>
          <w:r w:rsidR="00DC188F" w:rsidRPr="00DC188F">
            <w:rPr>
              <w:rFonts w:ascii="Times New Roman" w:eastAsia="Times New Roman" w:hAnsi="Times New Roman" w:cs="Times New Roman"/>
            </w:rPr>
            <w:t>(Setiawan &amp; Putranto, 2023)</w:t>
          </w:r>
        </w:sdtContent>
      </w:sdt>
      <w:r w:rsidRPr="00DC188F">
        <w:rPr>
          <w:rFonts w:ascii="Times New Roman" w:hAnsi="Times New Roman" w:cs="Times New Roman"/>
          <w:sz w:val="24"/>
          <w:szCs w:val="24"/>
        </w:rPr>
        <w:t>.</w:t>
      </w:r>
    </w:p>
    <w:p w14:paraId="6FA6039E" w14:textId="4B5A8AE1" w:rsidR="005C397D" w:rsidRPr="00DC188F" w:rsidRDefault="005C397D" w:rsidP="00DC188F">
      <w:pPr>
        <w:pStyle w:val="ListParagraph"/>
        <w:spacing w:line="360" w:lineRule="auto"/>
        <w:ind w:firstLine="720"/>
        <w:jc w:val="both"/>
        <w:rPr>
          <w:rFonts w:ascii="Times New Roman" w:hAnsi="Times New Roman" w:cs="Times New Roman"/>
          <w:sz w:val="24"/>
          <w:szCs w:val="24"/>
        </w:rPr>
      </w:pPr>
      <w:r w:rsidRPr="00DC188F">
        <w:rPr>
          <w:rFonts w:ascii="Times New Roman" w:hAnsi="Times New Roman" w:cs="Times New Roman"/>
          <w:sz w:val="24"/>
          <w:szCs w:val="24"/>
        </w:rPr>
        <w:t>Menganalisis perbandingan kedua negara ini dapat memberikan wawasan tentang bagaimana konteks lokal mempengaruhi pembentukan kebijakan anti-terorisme.</w:t>
      </w:r>
      <w:r w:rsidR="00C058AC" w:rsidRPr="00DC188F">
        <w:rPr>
          <w:rFonts w:ascii="Times New Roman" w:hAnsi="Times New Roman" w:cs="Times New Roman"/>
        </w:rPr>
        <w:t xml:space="preserve"> </w:t>
      </w:r>
      <w:r w:rsidRPr="00DC188F">
        <w:rPr>
          <w:rFonts w:ascii="Times New Roman" w:hAnsi="Times New Roman" w:cs="Times New Roman"/>
          <w:sz w:val="24"/>
          <w:szCs w:val="24"/>
        </w:rPr>
        <w:t xml:space="preserve">Namun, ada kesenjangan dalam literatur hukum yang menyajikan analisis mendalam tentang bagaimana kedua negara ini, dengan latar belakang dan tantangan mereka yang berbeda, telah mengembangkan hukum dan kebijakan terkait terorisme. Oleh karena itu, studi ini bertujuan untuk mengisi kesenjangan tersebut dengan memberikan gambaran komprehensif tentang hukum pidana terorisme di Indonesia dan Malaysia. </w:t>
      </w:r>
    </w:p>
    <w:p w14:paraId="36EA8BE9" w14:textId="44BE8DC5" w:rsidR="006E502C" w:rsidRPr="00DC188F" w:rsidRDefault="005C397D" w:rsidP="00DC188F">
      <w:pPr>
        <w:pStyle w:val="ListParagraph"/>
        <w:spacing w:line="360" w:lineRule="auto"/>
        <w:ind w:firstLine="720"/>
        <w:jc w:val="both"/>
        <w:rPr>
          <w:rFonts w:ascii="Times New Roman" w:hAnsi="Times New Roman" w:cs="Times New Roman"/>
          <w:sz w:val="24"/>
          <w:szCs w:val="24"/>
        </w:rPr>
      </w:pPr>
      <w:r w:rsidRPr="00DC188F">
        <w:rPr>
          <w:rFonts w:ascii="Times New Roman" w:hAnsi="Times New Roman" w:cs="Times New Roman"/>
          <w:sz w:val="24"/>
          <w:szCs w:val="24"/>
        </w:rPr>
        <w:t>Diharapkan, melalui analisis komparatif ini, pemangku kebijakan, akademisi, dan praktisi hukum dapat memahami lebih lanjut nuansa dan kompleksitas pendekatan kedua negara terhadap isu terorisme, serta mengevaluasi potensi kerja sama regional dalam upaya memerangi ancaman bersama ini.</w:t>
      </w:r>
    </w:p>
    <w:p w14:paraId="5D519DCC" w14:textId="77777777" w:rsidR="00AB0434" w:rsidRPr="00DC188F" w:rsidRDefault="00AB0434" w:rsidP="00DC188F">
      <w:pPr>
        <w:pStyle w:val="ListParagraph"/>
        <w:spacing w:line="360" w:lineRule="auto"/>
        <w:ind w:firstLine="720"/>
        <w:jc w:val="both"/>
        <w:rPr>
          <w:rFonts w:ascii="Times New Roman" w:hAnsi="Times New Roman" w:cs="Times New Roman"/>
          <w:sz w:val="24"/>
          <w:szCs w:val="24"/>
        </w:rPr>
      </w:pPr>
    </w:p>
    <w:p w14:paraId="7E7989D3" w14:textId="1F1F9625" w:rsidR="006E502C" w:rsidRPr="00DC188F" w:rsidRDefault="006E502C" w:rsidP="00DC188F">
      <w:pPr>
        <w:pStyle w:val="ListParagraph"/>
        <w:numPr>
          <w:ilvl w:val="0"/>
          <w:numId w:val="1"/>
        </w:numPr>
        <w:spacing w:line="360" w:lineRule="auto"/>
        <w:rPr>
          <w:rFonts w:ascii="Times New Roman" w:hAnsi="Times New Roman" w:cs="Times New Roman"/>
          <w:b/>
          <w:sz w:val="24"/>
          <w:szCs w:val="24"/>
        </w:rPr>
      </w:pPr>
      <w:r w:rsidRPr="00DC188F">
        <w:rPr>
          <w:rFonts w:ascii="Times New Roman" w:hAnsi="Times New Roman" w:cs="Times New Roman"/>
          <w:b/>
          <w:sz w:val="24"/>
          <w:szCs w:val="24"/>
        </w:rPr>
        <w:t>Metode</w:t>
      </w:r>
    </w:p>
    <w:p w14:paraId="444D75D6" w14:textId="5A8FEB35" w:rsidR="00AB0434" w:rsidRPr="00DC188F" w:rsidRDefault="00AB0434" w:rsidP="00DC188F">
      <w:pPr>
        <w:pStyle w:val="ListParagraph"/>
        <w:spacing w:line="360" w:lineRule="auto"/>
        <w:ind w:firstLine="720"/>
        <w:jc w:val="both"/>
        <w:rPr>
          <w:rFonts w:ascii="Times New Roman" w:hAnsi="Times New Roman" w:cs="Times New Roman"/>
          <w:sz w:val="24"/>
          <w:szCs w:val="24"/>
        </w:rPr>
      </w:pPr>
      <w:r w:rsidRPr="00DC188F">
        <w:rPr>
          <w:rFonts w:ascii="Times New Roman" w:hAnsi="Times New Roman" w:cs="Times New Roman"/>
          <w:sz w:val="24"/>
          <w:szCs w:val="24"/>
        </w:rPr>
        <w:t>Dalam rangka memahami dan menganalisis perbandingan hukum pidana terorisme antara Indonesia dan Malaysia, penelitian ini menerapkan pendekatan kualitatif dengan desain studi komparatif.</w:t>
      </w:r>
      <w:r w:rsidRPr="00DC188F">
        <w:rPr>
          <w:rFonts w:ascii="Times New Roman" w:hAnsi="Times New Roman" w:cs="Times New Roman"/>
          <w:sz w:val="24"/>
          <w:szCs w:val="24"/>
        </w:rPr>
        <w:t xml:space="preserve"> </w:t>
      </w:r>
      <w:r w:rsidRPr="00DC188F">
        <w:rPr>
          <w:rFonts w:ascii="Times New Roman" w:hAnsi="Times New Roman" w:cs="Times New Roman"/>
          <w:sz w:val="24"/>
          <w:szCs w:val="24"/>
        </w:rPr>
        <w:t xml:space="preserve">Metode jurnal kualitatif melibatkan teknik </w:t>
      </w:r>
      <w:r w:rsidRPr="00DC188F">
        <w:rPr>
          <w:rFonts w:ascii="Times New Roman" w:hAnsi="Times New Roman" w:cs="Times New Roman"/>
          <w:sz w:val="24"/>
          <w:szCs w:val="24"/>
        </w:rPr>
        <w:lastRenderedPageBreak/>
        <w:t xml:space="preserve">pengumpulan data yang terperinci dan umumnya tidak bergantung pada analisis statistik. Dalam pendekatan ini, beberapa contoh termasuk studi kasus, analisis kasus, dan evaluasi demokrasi </w:t>
      </w:r>
      <w:sdt>
        <w:sdtPr>
          <w:rPr>
            <w:rFonts w:ascii="Times New Roman" w:hAnsi="Times New Roman" w:cs="Times New Roman"/>
            <w:color w:val="000000"/>
            <w:sz w:val="24"/>
            <w:szCs w:val="24"/>
          </w:rPr>
          <w:tag w:val="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
          <w:id w:val="1620877399"/>
          <w:placeholder>
            <w:docPart w:val="A8643C563E4E4360B3B79A690A3F86C1"/>
          </w:placeholder>
        </w:sdtPr>
        <w:sdtContent>
          <w:r w:rsidR="00DC188F" w:rsidRPr="00DC188F">
            <w:rPr>
              <w:rFonts w:ascii="Times New Roman" w:hAnsi="Times New Roman" w:cs="Times New Roman"/>
              <w:color w:val="000000"/>
              <w:sz w:val="24"/>
              <w:szCs w:val="24"/>
            </w:rPr>
            <w:t>(Elfiana et al., 2023)</w:t>
          </w:r>
        </w:sdtContent>
      </w:sdt>
      <w:r w:rsidRPr="00DC188F">
        <w:rPr>
          <w:rFonts w:ascii="Times New Roman" w:hAnsi="Times New Roman" w:cs="Times New Roman"/>
          <w:sz w:val="24"/>
          <w:szCs w:val="24"/>
        </w:rPr>
        <w:t>.</w:t>
      </w:r>
      <w:r w:rsidRPr="00DC188F">
        <w:rPr>
          <w:rFonts w:ascii="Times New Roman" w:hAnsi="Times New Roman" w:cs="Times New Roman"/>
          <w:sz w:val="24"/>
          <w:szCs w:val="24"/>
        </w:rPr>
        <w:t xml:space="preserve"> </w:t>
      </w:r>
      <w:r w:rsidRPr="00DC188F">
        <w:rPr>
          <w:rFonts w:ascii="Times New Roman" w:hAnsi="Times New Roman" w:cs="Times New Roman"/>
          <w:sz w:val="24"/>
          <w:szCs w:val="24"/>
        </w:rPr>
        <w:t>Pendekatan kualitatif dipilih karena mampu mengeksplorasi dan memahami kedalaman serta kompleksitas isu terorisme yang berkembang dalam masing-masing negara.</w:t>
      </w:r>
      <w:r w:rsidRPr="00DC188F">
        <w:rPr>
          <w:rFonts w:ascii="Times New Roman" w:hAnsi="Times New Roman" w:cs="Times New Roman"/>
          <w:sz w:val="24"/>
          <w:szCs w:val="24"/>
        </w:rPr>
        <w:t xml:space="preserve"> </w:t>
      </w:r>
      <w:r w:rsidRPr="00DC188F">
        <w:rPr>
          <w:rFonts w:ascii="Times New Roman" w:hAnsi="Times New Roman" w:cs="Times New Roman"/>
          <w:sz w:val="24"/>
          <w:szCs w:val="24"/>
        </w:rPr>
        <w:t xml:space="preserve">Penulisan jurnal ini juga memanfaatkan pendekatan studi kepustakaan, yang dipilih karena bahan pustaka diperoleh dari beragam sumber seperti buku referensi, jurnal ilmiah, dan karya tulis lain </w:t>
      </w:r>
      <w:sdt>
        <w:sdtPr>
          <w:rPr>
            <w:rFonts w:ascii="Times New Roman" w:hAnsi="Times New Roman" w:cs="Times New Roman"/>
          </w:rPr>
          <w:tag w:val="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1435398428"/>
          <w:placeholder>
            <w:docPart w:val="A8643C563E4E4360B3B79A690A3F86C1"/>
          </w:placeholder>
        </w:sdtPr>
        <w:sdtContent>
          <w:r w:rsidR="00DC188F" w:rsidRPr="00DC188F">
            <w:rPr>
              <w:rFonts w:ascii="Times New Roman" w:eastAsia="Times New Roman" w:hAnsi="Times New Roman" w:cs="Times New Roman"/>
            </w:rPr>
            <w:t>(Dwi Putranto &amp; Harvelian, 2023)</w:t>
          </w:r>
        </w:sdtContent>
      </w:sdt>
      <w:r w:rsidRPr="00DC188F">
        <w:rPr>
          <w:rFonts w:ascii="Times New Roman" w:hAnsi="Times New Roman" w:cs="Times New Roman"/>
          <w:sz w:val="24"/>
          <w:szCs w:val="24"/>
        </w:rPr>
        <w:t xml:space="preserve">. </w:t>
      </w:r>
    </w:p>
    <w:p w14:paraId="19CFC6A9" w14:textId="6AAE6742" w:rsidR="00AB0434" w:rsidRPr="00DC188F" w:rsidRDefault="00AB0434" w:rsidP="00DC188F">
      <w:pPr>
        <w:pStyle w:val="ListParagraph"/>
        <w:spacing w:line="360" w:lineRule="auto"/>
        <w:ind w:firstLine="720"/>
        <w:jc w:val="both"/>
        <w:rPr>
          <w:rFonts w:ascii="Times New Roman" w:hAnsi="Times New Roman" w:cs="Times New Roman"/>
          <w:sz w:val="24"/>
          <w:szCs w:val="24"/>
        </w:rPr>
      </w:pPr>
      <w:r w:rsidRPr="00DC188F">
        <w:rPr>
          <w:rFonts w:ascii="Times New Roman" w:hAnsi="Times New Roman" w:cs="Times New Roman"/>
          <w:sz w:val="24"/>
          <w:szCs w:val="24"/>
        </w:rPr>
        <w:t>Data dikumpulkan melalui studi literatur, termasuk namun tidak terbatas pada undang-undang, regulasi, kebijakan, serta putusan-putusan pengadilan yang relevan dari kedua negara. Selanjutnya, data yang terkumpul dianalisis menggunakan teknik analisis isi untuk menemukan kesamaan dan perbedaan dalam regulasi dan implementasi hukum pidana terorisme antara kedua negara tersebut. Melalui metode ini, penelitian berupaya memberikan pandangan komprehensif tentang bagaimana kedua negara berbeda serta aspek mana yang bisa diadopsi atau ditingkatkan oleh masing-masing negara untuk memerangi terorisme dengan lebih efektif.</w:t>
      </w:r>
    </w:p>
    <w:p w14:paraId="3FBC4AFC" w14:textId="77777777" w:rsidR="00AB0434" w:rsidRPr="00DC188F" w:rsidRDefault="00AB0434" w:rsidP="00DC188F">
      <w:pPr>
        <w:pStyle w:val="ListParagraph"/>
        <w:spacing w:line="360" w:lineRule="auto"/>
        <w:ind w:firstLine="720"/>
        <w:jc w:val="both"/>
        <w:rPr>
          <w:rFonts w:ascii="Times New Roman" w:hAnsi="Times New Roman" w:cs="Times New Roman"/>
          <w:sz w:val="24"/>
          <w:szCs w:val="24"/>
        </w:rPr>
      </w:pPr>
    </w:p>
    <w:p w14:paraId="03814EE4" w14:textId="655BE179" w:rsidR="006E502C" w:rsidRPr="00DC188F" w:rsidRDefault="006E502C" w:rsidP="00DC188F">
      <w:pPr>
        <w:pStyle w:val="ListParagraph"/>
        <w:numPr>
          <w:ilvl w:val="0"/>
          <w:numId w:val="1"/>
        </w:numPr>
        <w:spacing w:line="360" w:lineRule="auto"/>
        <w:rPr>
          <w:rFonts w:ascii="Times New Roman" w:hAnsi="Times New Roman" w:cs="Times New Roman"/>
          <w:b/>
          <w:sz w:val="24"/>
          <w:szCs w:val="24"/>
        </w:rPr>
      </w:pPr>
      <w:r w:rsidRPr="00DC188F">
        <w:rPr>
          <w:rFonts w:ascii="Times New Roman" w:hAnsi="Times New Roman" w:cs="Times New Roman"/>
          <w:b/>
          <w:sz w:val="24"/>
          <w:szCs w:val="24"/>
        </w:rPr>
        <w:t>Hasil dan Pemabahasan</w:t>
      </w:r>
    </w:p>
    <w:p w14:paraId="10E5BF9E" w14:textId="6B19F245" w:rsidR="00AB0434" w:rsidRPr="00DC188F" w:rsidRDefault="00AB0434" w:rsidP="00DC188F">
      <w:pPr>
        <w:pStyle w:val="ListParagraph"/>
        <w:spacing w:line="360" w:lineRule="auto"/>
        <w:rPr>
          <w:rFonts w:ascii="Times New Roman" w:hAnsi="Times New Roman" w:cs="Times New Roman"/>
          <w:b/>
          <w:sz w:val="24"/>
          <w:szCs w:val="24"/>
        </w:rPr>
      </w:pPr>
      <w:r w:rsidRPr="00DC188F">
        <w:rPr>
          <w:rFonts w:ascii="Times New Roman" w:hAnsi="Times New Roman" w:cs="Times New Roman"/>
          <w:b/>
          <w:sz w:val="24"/>
          <w:szCs w:val="24"/>
        </w:rPr>
        <w:t>Hasil</w:t>
      </w:r>
    </w:p>
    <w:p w14:paraId="1BC6364A" w14:textId="77777777" w:rsidR="00A1573C" w:rsidRPr="00DC188F" w:rsidRDefault="00A1573C" w:rsidP="00DC188F">
      <w:pPr>
        <w:pStyle w:val="ListParagraph"/>
        <w:spacing w:line="360" w:lineRule="auto"/>
        <w:ind w:firstLine="720"/>
        <w:jc w:val="both"/>
        <w:rPr>
          <w:rFonts w:ascii="Times New Roman" w:hAnsi="Times New Roman" w:cs="Times New Roman"/>
          <w:sz w:val="24"/>
          <w:szCs w:val="24"/>
        </w:rPr>
      </w:pPr>
      <w:r w:rsidRPr="00DC188F">
        <w:rPr>
          <w:rFonts w:ascii="Times New Roman" w:hAnsi="Times New Roman" w:cs="Times New Roman"/>
          <w:sz w:val="24"/>
          <w:szCs w:val="24"/>
        </w:rPr>
        <w:t xml:space="preserve">Dari penelitian yang telah dilaksanakan, dapat disimpulkan bahwa Indonesia dan Malaysia memiliki dasar hukum yang tegas dalam penanganan terorisme. Meskipun demikian, pendekatan kedua negara terhadap pemberantasan tindak pidana terorisme menunjukkan perbedaan yang signifikan. Di satu sisi, Indonesia lebih cenderung menggunakan pendekatan represif dengan hukuman yang tegas bagi pelaku terorisme. Di sisi lain, Malaysia lebih menekankan pada upaya pencegahan dengan fokus pada edukasi dan deradikalisasi. </w:t>
      </w:r>
    </w:p>
    <w:p w14:paraId="5D704071" w14:textId="08F46224" w:rsidR="00A1573C" w:rsidRPr="00DC188F" w:rsidRDefault="00A1573C" w:rsidP="00DC188F">
      <w:pPr>
        <w:pStyle w:val="ListParagraph"/>
        <w:spacing w:line="360" w:lineRule="auto"/>
        <w:ind w:firstLine="720"/>
        <w:jc w:val="both"/>
        <w:rPr>
          <w:rFonts w:ascii="Times New Roman" w:hAnsi="Times New Roman" w:cs="Times New Roman"/>
          <w:sz w:val="24"/>
          <w:szCs w:val="24"/>
        </w:rPr>
      </w:pPr>
      <w:r w:rsidRPr="00DC188F">
        <w:rPr>
          <w:rFonts w:ascii="Times New Roman" w:hAnsi="Times New Roman" w:cs="Times New Roman"/>
          <w:sz w:val="24"/>
          <w:szCs w:val="24"/>
        </w:rPr>
        <w:t>Meski telah ada kerangka hukum yang jelas, implementasinya di lapangan oleh kedua negara masih menemui sejumlah hambatan. Faktor-faktor eksternal, seperti kondisi sosial dan ekonomi, mempengaruhi efektivitas pemberantasan tindak pidana terorisme.</w:t>
      </w:r>
    </w:p>
    <w:p w14:paraId="2265BC12" w14:textId="77777777" w:rsidR="00A1573C" w:rsidRPr="00DC188F" w:rsidRDefault="00A1573C" w:rsidP="00DC188F">
      <w:pPr>
        <w:pStyle w:val="ListParagraph"/>
        <w:spacing w:line="360" w:lineRule="auto"/>
        <w:ind w:firstLine="720"/>
        <w:jc w:val="both"/>
        <w:rPr>
          <w:rFonts w:ascii="Times New Roman" w:hAnsi="Times New Roman" w:cs="Times New Roman"/>
          <w:sz w:val="24"/>
          <w:szCs w:val="24"/>
        </w:rPr>
      </w:pPr>
    </w:p>
    <w:p w14:paraId="6161C224" w14:textId="1E1D64EA" w:rsidR="00AB0434" w:rsidRPr="00DC188F" w:rsidRDefault="00AB0434" w:rsidP="00DC188F">
      <w:pPr>
        <w:pStyle w:val="ListParagraph"/>
        <w:spacing w:line="360" w:lineRule="auto"/>
        <w:rPr>
          <w:rFonts w:ascii="Times New Roman" w:hAnsi="Times New Roman" w:cs="Times New Roman"/>
          <w:b/>
          <w:sz w:val="24"/>
          <w:szCs w:val="24"/>
        </w:rPr>
      </w:pPr>
      <w:r w:rsidRPr="00DC188F">
        <w:rPr>
          <w:rFonts w:ascii="Times New Roman" w:hAnsi="Times New Roman" w:cs="Times New Roman"/>
          <w:b/>
          <w:sz w:val="24"/>
          <w:szCs w:val="24"/>
        </w:rPr>
        <w:t>Pembahasan</w:t>
      </w:r>
    </w:p>
    <w:p w14:paraId="76156117" w14:textId="01E48A15" w:rsidR="0004685F" w:rsidRPr="00DC188F" w:rsidRDefault="0004685F" w:rsidP="00DC188F">
      <w:pPr>
        <w:pStyle w:val="ListParagraph"/>
        <w:spacing w:line="360" w:lineRule="auto"/>
        <w:ind w:firstLine="720"/>
        <w:jc w:val="both"/>
        <w:rPr>
          <w:rFonts w:ascii="Times New Roman" w:hAnsi="Times New Roman" w:cs="Times New Roman"/>
          <w:sz w:val="24"/>
          <w:szCs w:val="24"/>
        </w:rPr>
      </w:pPr>
      <w:r w:rsidRPr="00DC188F">
        <w:rPr>
          <w:rFonts w:ascii="Times New Roman" w:hAnsi="Times New Roman" w:cs="Times New Roman"/>
          <w:sz w:val="24"/>
          <w:szCs w:val="24"/>
        </w:rPr>
        <w:t xml:space="preserve">Pemerintah Indonesia telah menerapkan strategi penanggulangan terorisme sesuai dengan UU No. 15 Tahun 2003 mengenai Tindak Pidana Terorisme, yang </w:t>
      </w:r>
      <w:r w:rsidRPr="00DC188F">
        <w:rPr>
          <w:rFonts w:ascii="Times New Roman" w:hAnsi="Times New Roman" w:cs="Times New Roman"/>
          <w:sz w:val="24"/>
          <w:szCs w:val="24"/>
        </w:rPr>
        <w:lastRenderedPageBreak/>
        <w:t>melibatkan pendekatan prevetif, preemtif, dan represif. Pertama, pendekatan prevetif fokus pada pencegahan kejahatan sebelum terjadi, dengan menekankan pada tindakan pencegahan yang lebih murah dan efektif. Cara-cara seperti memberikan bantuan sosial dan peningkatan kesejahteraan masyarakat, serta patroli keamanan menjadi upaya konkrit dalam pendekatan ini. Kedua, pendekatan preemtif bertujuan untuk menanamkan nilai dan norma positif agar individu dapat menghindari perilaku jahat. Ini dilakukan dengan mengajarkan norma-norma yang positif sehingga sugesti negatif dapat dihilangkan. Ketiga, pendekatan represif menangani tindak pidana pasca kejadian melalui penegakan hukum dan pemberian sanksi kepada pelaku. Ini bertujuan untuk melindungi masyarakat dan menjaga batas toleransi terhadap tindakan kejahatan</w:t>
      </w:r>
      <w:r w:rsidR="00DC188F" w:rsidRPr="00DC188F">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"/>
          <w:id w:val="318465898"/>
          <w:placeholder>
            <w:docPart w:val="DefaultPlaceholder_-1854013440"/>
          </w:placeholder>
        </w:sdtPr>
        <w:sdtContent>
          <w:r w:rsidR="00DC188F" w:rsidRPr="00DC188F">
            <w:rPr>
              <w:rFonts w:ascii="Times New Roman" w:hAnsi="Times New Roman" w:cs="Times New Roman"/>
              <w:color w:val="000000"/>
              <w:sz w:val="24"/>
              <w:szCs w:val="24"/>
            </w:rPr>
            <w:t>(Darma et al., 2018)</w:t>
          </w:r>
        </w:sdtContent>
      </w:sdt>
      <w:r w:rsidRPr="00DC188F">
        <w:rPr>
          <w:rFonts w:ascii="Times New Roman" w:hAnsi="Times New Roman" w:cs="Times New Roman"/>
          <w:sz w:val="24"/>
          <w:szCs w:val="24"/>
        </w:rPr>
        <w:t>.</w:t>
      </w:r>
    </w:p>
    <w:p w14:paraId="1EC494BE" w14:textId="382ECA58" w:rsidR="00A1573C" w:rsidRPr="00DC188F" w:rsidRDefault="00A1573C" w:rsidP="00DC188F">
      <w:pPr>
        <w:pStyle w:val="ListParagraph"/>
        <w:spacing w:line="360" w:lineRule="auto"/>
        <w:ind w:firstLine="720"/>
        <w:jc w:val="both"/>
        <w:rPr>
          <w:rFonts w:ascii="Times New Roman" w:hAnsi="Times New Roman" w:cs="Times New Roman"/>
          <w:sz w:val="24"/>
          <w:szCs w:val="24"/>
        </w:rPr>
      </w:pPr>
      <w:r w:rsidRPr="00DC188F">
        <w:rPr>
          <w:rFonts w:ascii="Times New Roman" w:hAnsi="Times New Roman" w:cs="Times New Roman"/>
          <w:sz w:val="24"/>
          <w:szCs w:val="24"/>
        </w:rPr>
        <w:t xml:space="preserve">Ketika mempertimbangkan pendekatan represif yang diadopsi oleh Indonesia, penting untuk memahami latar belakang sejarah dan konteks sosial-politik negara tersebut. Indonesia, dengan sejarah panjang konflik internal dan ancaman terorisme, mungkin melihat pendekatan represif sebagai solusi jangka pendek untuk memberikan rasa aman kepada masyarakatnya. Namun, pendekatan ini bisa menjadi pedang bermata dua; sementara bisa memberikan efek jera bagi pelaku, namun juga berpotensi meningkatkan sentimen negatif dan radikalisasi di kalangan masyarakat tertentu. </w:t>
      </w:r>
    </w:p>
    <w:p w14:paraId="37CB1368" w14:textId="58EFDE6F" w:rsidR="0004685F" w:rsidRPr="00DC188F" w:rsidRDefault="0004685F" w:rsidP="00DC188F">
      <w:pPr>
        <w:pStyle w:val="ListParagraph"/>
        <w:spacing w:line="360" w:lineRule="auto"/>
        <w:ind w:firstLine="720"/>
        <w:jc w:val="both"/>
        <w:rPr>
          <w:rFonts w:ascii="Times New Roman" w:hAnsi="Times New Roman" w:cs="Times New Roman"/>
          <w:sz w:val="24"/>
          <w:szCs w:val="24"/>
        </w:rPr>
      </w:pPr>
      <w:r w:rsidRPr="00DC188F">
        <w:rPr>
          <w:rFonts w:ascii="Times New Roman" w:hAnsi="Times New Roman" w:cs="Times New Roman"/>
          <w:sz w:val="24"/>
          <w:szCs w:val="24"/>
        </w:rPr>
        <w:t xml:space="preserve">Sementara Malaysia, </w:t>
      </w:r>
      <w:r w:rsidRPr="00DC188F">
        <w:rPr>
          <w:rFonts w:ascii="Times New Roman" w:hAnsi="Times New Roman" w:cs="Times New Roman"/>
          <w:sz w:val="24"/>
          <w:szCs w:val="24"/>
        </w:rPr>
        <w:t>Jabatan Kemajuan Islam Malaysia (JAKIM) merupakan badan otoritas di Malaysia yang memiliki tanggung jawab dalam melawan radikalisme melalui program deradikalisasi. Deradikalisasi merupakan upaya untuk mengubah pandangan individu atau kelompok yang telah terpengaruh oleh ideologi radikal. Tujuan dari program deradikalisasi yang dilaksanakan oleh JAKIM adalah untuk mendidik dan memberikan pemahaman tentang ajaran Islam yang sesungguhnya. Namun, mengingat banyaknya anggota kelompok teroris yang sudah lama terpengaruh ideologi radikal, proses ini tentu memerlukan kesabaran dan waktu yang cukup lama</w:t>
      </w:r>
      <w:r w:rsidRPr="00DC188F">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"/>
          <w:id w:val="279148306"/>
          <w:placeholder>
            <w:docPart w:val="DefaultPlaceholder_-1854013440"/>
          </w:placeholder>
        </w:sdtPr>
        <w:sdtContent>
          <w:r w:rsidR="00DC188F" w:rsidRPr="00DC188F">
            <w:rPr>
              <w:rFonts w:ascii="Times New Roman" w:eastAsia="Times New Roman" w:hAnsi="Times New Roman" w:cs="Times New Roman"/>
            </w:rPr>
            <w:t>(Mujib &amp; Halkis, 2022)</w:t>
          </w:r>
        </w:sdtContent>
      </w:sdt>
      <w:r w:rsidRPr="00DC188F">
        <w:rPr>
          <w:rFonts w:ascii="Times New Roman" w:hAnsi="Times New Roman" w:cs="Times New Roman"/>
          <w:sz w:val="24"/>
          <w:szCs w:val="24"/>
        </w:rPr>
        <w:t>.</w:t>
      </w:r>
    </w:p>
    <w:p w14:paraId="4BA0AB84" w14:textId="561F13E1" w:rsidR="00A1573C" w:rsidRPr="00DC188F" w:rsidRDefault="0004685F" w:rsidP="00DC188F">
      <w:pPr>
        <w:pStyle w:val="ListParagraph"/>
        <w:spacing w:line="360" w:lineRule="auto"/>
        <w:ind w:firstLine="720"/>
        <w:jc w:val="both"/>
        <w:rPr>
          <w:rFonts w:ascii="Times New Roman" w:hAnsi="Times New Roman" w:cs="Times New Roman"/>
          <w:sz w:val="24"/>
          <w:szCs w:val="24"/>
        </w:rPr>
      </w:pPr>
      <w:r w:rsidRPr="00DC188F">
        <w:rPr>
          <w:rFonts w:ascii="Times New Roman" w:hAnsi="Times New Roman" w:cs="Times New Roman"/>
          <w:sz w:val="24"/>
          <w:szCs w:val="24"/>
        </w:rPr>
        <w:t>P</w:t>
      </w:r>
      <w:r w:rsidR="00A1573C" w:rsidRPr="00DC188F">
        <w:rPr>
          <w:rFonts w:ascii="Times New Roman" w:hAnsi="Times New Roman" w:cs="Times New Roman"/>
          <w:sz w:val="24"/>
          <w:szCs w:val="24"/>
        </w:rPr>
        <w:t xml:space="preserve">endekatan preventif yang dianut oleh Malaysia mencerminkan pemahaman bahwa akar dari terorisme seringkali lebih kompleks dari sekadar tindakan kekerasan. Upaya edukasi dan deradikalisasi menunjukkan bahwa Malaysia mengakui pentingnya memahami dan mengatasi penyebab dasar terorisme. Program deradikalisasi, misalnya, bertujuan untuk memulihkan individu yang terpapar ideologi ekstrim dan mencegah mereka kembali ke jalur kekerasan. </w:t>
      </w:r>
    </w:p>
    <w:p w14:paraId="6308F524" w14:textId="77777777" w:rsidR="00A1573C" w:rsidRPr="00DC188F" w:rsidRDefault="00A1573C" w:rsidP="00DC188F">
      <w:pPr>
        <w:pStyle w:val="ListParagraph"/>
        <w:spacing w:line="360" w:lineRule="auto"/>
        <w:ind w:firstLine="720"/>
        <w:jc w:val="both"/>
        <w:rPr>
          <w:rFonts w:ascii="Times New Roman" w:hAnsi="Times New Roman" w:cs="Times New Roman"/>
          <w:sz w:val="24"/>
          <w:szCs w:val="24"/>
        </w:rPr>
      </w:pPr>
      <w:r w:rsidRPr="00DC188F">
        <w:rPr>
          <w:rFonts w:ascii="Times New Roman" w:hAnsi="Times New Roman" w:cs="Times New Roman"/>
          <w:sz w:val="24"/>
          <w:szCs w:val="24"/>
        </w:rPr>
        <w:lastRenderedPageBreak/>
        <w:t xml:space="preserve">Namun, tidak ada satu pendekatan pun yang bisa dikatakan paling efektif. Faktor-faktor eksternal, seperti kondisi ekonomi, ketidaksetaraan sosial, dan lainnya, memainkan peran krusial dalam munculnya tindakan terorisme. Kedua negara perlu mempertimbangkan pendekatan holistik yang tidak hanya berfokus pada aspek hukuman, tetapi juga pada pemahaman dan penanganan akar masalah terorisme. </w:t>
      </w:r>
    </w:p>
    <w:p w14:paraId="509A6448" w14:textId="77777777" w:rsidR="00A1573C" w:rsidRPr="00DC188F" w:rsidRDefault="00A1573C" w:rsidP="00DC188F">
      <w:pPr>
        <w:pStyle w:val="ListParagraph"/>
        <w:spacing w:line="360" w:lineRule="auto"/>
        <w:ind w:firstLine="720"/>
        <w:jc w:val="both"/>
        <w:rPr>
          <w:rFonts w:ascii="Times New Roman" w:hAnsi="Times New Roman" w:cs="Times New Roman"/>
          <w:sz w:val="24"/>
          <w:szCs w:val="24"/>
        </w:rPr>
      </w:pPr>
      <w:r w:rsidRPr="00DC188F">
        <w:rPr>
          <w:rFonts w:ascii="Times New Roman" w:hAnsi="Times New Roman" w:cs="Times New Roman"/>
          <w:sz w:val="24"/>
          <w:szCs w:val="24"/>
        </w:rPr>
        <w:t xml:space="preserve">Tantangan implementasi hukum di lapangan juga menjadi isu penting. Meskipun undang-undang dapat dengan tegas melarang dan menghukum tindak pidana terorisme, tetapi tanpa dukungan masyarakat dan pemahaman yang mendalam tentang dinamika terorisme, upaya pemberantasannya akan selalu menemui hambatan. </w:t>
      </w:r>
    </w:p>
    <w:p w14:paraId="68B5290A" w14:textId="04110471" w:rsidR="00A1573C" w:rsidRDefault="00A1573C" w:rsidP="00DC188F">
      <w:pPr>
        <w:pStyle w:val="ListParagraph"/>
        <w:spacing w:line="360" w:lineRule="auto"/>
        <w:ind w:firstLine="720"/>
        <w:jc w:val="both"/>
        <w:rPr>
          <w:rFonts w:ascii="Times New Roman" w:hAnsi="Times New Roman" w:cs="Times New Roman"/>
          <w:sz w:val="24"/>
          <w:szCs w:val="24"/>
        </w:rPr>
      </w:pPr>
      <w:r w:rsidRPr="00DC188F">
        <w:rPr>
          <w:rFonts w:ascii="Times New Roman" w:hAnsi="Times New Roman" w:cs="Times New Roman"/>
          <w:sz w:val="24"/>
          <w:szCs w:val="24"/>
        </w:rPr>
        <w:t>Terakhir, kolaborasi internasional juga menjadi kunci dalam memberantas terorisme. Mengingat sifat terorisme yang sering bersifat lintas batas, kerjasama antarnegara, termasuk antara Indonesia dan Malaysia, akan meningkatkan efektivitas pemberantasan terorisme.</w:t>
      </w:r>
    </w:p>
    <w:p w14:paraId="1BE423B7" w14:textId="77777777" w:rsidR="00DC188F" w:rsidRPr="00DC188F" w:rsidRDefault="00DC188F" w:rsidP="00DC188F">
      <w:pPr>
        <w:pStyle w:val="ListParagraph"/>
        <w:spacing w:line="360" w:lineRule="auto"/>
        <w:ind w:firstLine="720"/>
        <w:jc w:val="both"/>
        <w:rPr>
          <w:rFonts w:ascii="Times New Roman" w:hAnsi="Times New Roman" w:cs="Times New Roman"/>
          <w:sz w:val="24"/>
          <w:szCs w:val="24"/>
        </w:rPr>
      </w:pPr>
    </w:p>
    <w:p w14:paraId="3BF5B32C" w14:textId="3791EAC5" w:rsidR="006E502C" w:rsidRPr="00DC188F" w:rsidRDefault="006E502C" w:rsidP="00DC188F">
      <w:pPr>
        <w:pStyle w:val="ListParagraph"/>
        <w:numPr>
          <w:ilvl w:val="0"/>
          <w:numId w:val="1"/>
        </w:numPr>
        <w:spacing w:line="360" w:lineRule="auto"/>
        <w:rPr>
          <w:rFonts w:ascii="Times New Roman" w:hAnsi="Times New Roman" w:cs="Times New Roman"/>
          <w:b/>
          <w:sz w:val="24"/>
          <w:szCs w:val="24"/>
        </w:rPr>
      </w:pPr>
      <w:r w:rsidRPr="00DC188F">
        <w:rPr>
          <w:rFonts w:ascii="Times New Roman" w:hAnsi="Times New Roman" w:cs="Times New Roman"/>
          <w:b/>
          <w:sz w:val="24"/>
          <w:szCs w:val="24"/>
        </w:rPr>
        <w:t>Kesimpulan</w:t>
      </w:r>
    </w:p>
    <w:p w14:paraId="73E868AC" w14:textId="1A3AF3F5" w:rsidR="00DC188F" w:rsidRDefault="00DC188F" w:rsidP="00DC188F">
      <w:pPr>
        <w:pStyle w:val="ListParagraph"/>
        <w:spacing w:line="360" w:lineRule="auto"/>
        <w:ind w:firstLine="720"/>
        <w:jc w:val="both"/>
        <w:rPr>
          <w:rFonts w:ascii="Times New Roman" w:hAnsi="Times New Roman" w:cs="Times New Roman"/>
          <w:sz w:val="24"/>
          <w:szCs w:val="24"/>
        </w:rPr>
      </w:pPr>
      <w:r w:rsidRPr="00DC188F">
        <w:rPr>
          <w:rFonts w:ascii="Times New Roman" w:hAnsi="Times New Roman" w:cs="Times New Roman"/>
          <w:sz w:val="24"/>
          <w:szCs w:val="24"/>
        </w:rPr>
        <w:t>Kejahatan terorisme telah menjadi isu global yang menimbulkan keprihatinan di seluruh dunia, termasuk di negara-negara seperti Indonesia dan Malaysia. Sementara terorisme mencerminkan ancaman serius terhadap kedaulatan dan keamanan negara, respons terhadap ancaman ini bervariasi berdasarkan konteks lokal setiap negara. Indonesia dan Malaysia, meskipun memiliki hubungan historis dan budaya yang dekat, telah menunjukkan pendekatan yang berbeda dalam mengatasi terorisme. Sementara Indonesia cenderung menerapkan pendekatan represif dengan penegakan hukum yang ketat, Malaysia lebih memilih pendekatan pencegahan dengan fokus pada edukasi dan deradikalisasi. Analisis komparatif hukum pidana terkait terorisme di kedua negara ini menunjukkan bagaimana faktor sosial, budaya, ekonomi, dan politik mempengaruhi strategi dan kebijakan pemberantasan terorisme.</w:t>
      </w:r>
    </w:p>
    <w:p w14:paraId="62ADB4A0" w14:textId="5CFD0DD0" w:rsidR="00DC188F" w:rsidRDefault="00DC188F" w:rsidP="00DC188F">
      <w:pPr>
        <w:pStyle w:val="ListParagraph"/>
        <w:spacing w:line="360" w:lineRule="auto"/>
        <w:ind w:firstLine="720"/>
        <w:jc w:val="both"/>
        <w:rPr>
          <w:rFonts w:ascii="Times New Roman" w:hAnsi="Times New Roman" w:cs="Times New Roman"/>
          <w:sz w:val="24"/>
          <w:szCs w:val="24"/>
        </w:rPr>
      </w:pPr>
    </w:p>
    <w:p w14:paraId="7307C930" w14:textId="0CBE3478" w:rsidR="00DC188F" w:rsidRDefault="00DC188F" w:rsidP="00DC188F">
      <w:pPr>
        <w:pStyle w:val="ListParagraph"/>
        <w:spacing w:line="360" w:lineRule="auto"/>
        <w:ind w:firstLine="720"/>
        <w:jc w:val="both"/>
        <w:rPr>
          <w:rFonts w:ascii="Times New Roman" w:hAnsi="Times New Roman" w:cs="Times New Roman"/>
          <w:sz w:val="24"/>
          <w:szCs w:val="24"/>
        </w:rPr>
      </w:pPr>
    </w:p>
    <w:p w14:paraId="77EFA726" w14:textId="3FEC488D" w:rsidR="00DC188F" w:rsidRDefault="00DC188F" w:rsidP="00DC188F">
      <w:pPr>
        <w:pStyle w:val="ListParagraph"/>
        <w:spacing w:line="360" w:lineRule="auto"/>
        <w:ind w:firstLine="720"/>
        <w:jc w:val="both"/>
        <w:rPr>
          <w:rFonts w:ascii="Times New Roman" w:hAnsi="Times New Roman" w:cs="Times New Roman"/>
          <w:sz w:val="24"/>
          <w:szCs w:val="24"/>
        </w:rPr>
      </w:pPr>
    </w:p>
    <w:p w14:paraId="66A82ADA" w14:textId="5C80E108" w:rsidR="00DC188F" w:rsidRDefault="00DC188F" w:rsidP="00DC188F">
      <w:pPr>
        <w:pStyle w:val="ListParagraph"/>
        <w:spacing w:line="360" w:lineRule="auto"/>
        <w:ind w:firstLine="720"/>
        <w:jc w:val="both"/>
        <w:rPr>
          <w:rFonts w:ascii="Times New Roman" w:hAnsi="Times New Roman" w:cs="Times New Roman"/>
          <w:sz w:val="24"/>
          <w:szCs w:val="24"/>
        </w:rPr>
      </w:pPr>
    </w:p>
    <w:p w14:paraId="5745E910" w14:textId="300B0000" w:rsidR="00DC188F" w:rsidRDefault="00DC188F" w:rsidP="00DC188F">
      <w:pPr>
        <w:pStyle w:val="ListParagraph"/>
        <w:spacing w:line="360" w:lineRule="auto"/>
        <w:ind w:firstLine="720"/>
        <w:jc w:val="both"/>
        <w:rPr>
          <w:rFonts w:ascii="Times New Roman" w:hAnsi="Times New Roman" w:cs="Times New Roman"/>
          <w:sz w:val="24"/>
          <w:szCs w:val="24"/>
        </w:rPr>
      </w:pPr>
    </w:p>
    <w:p w14:paraId="310BDD23" w14:textId="2F2F5917" w:rsidR="00DC188F" w:rsidRDefault="00DC188F" w:rsidP="00DC188F">
      <w:pPr>
        <w:pStyle w:val="ListParagraph"/>
        <w:spacing w:line="360" w:lineRule="auto"/>
        <w:ind w:firstLine="720"/>
        <w:jc w:val="both"/>
        <w:rPr>
          <w:rFonts w:ascii="Times New Roman" w:hAnsi="Times New Roman" w:cs="Times New Roman"/>
          <w:sz w:val="24"/>
          <w:szCs w:val="24"/>
        </w:rPr>
      </w:pPr>
    </w:p>
    <w:p w14:paraId="467984DF" w14:textId="77777777" w:rsidR="00DC188F" w:rsidRPr="00DC188F" w:rsidRDefault="00DC188F" w:rsidP="00DC188F">
      <w:pPr>
        <w:pStyle w:val="ListParagraph"/>
        <w:spacing w:line="360" w:lineRule="auto"/>
        <w:ind w:firstLine="720"/>
        <w:jc w:val="both"/>
        <w:rPr>
          <w:rFonts w:ascii="Times New Roman" w:hAnsi="Times New Roman" w:cs="Times New Roman"/>
          <w:sz w:val="24"/>
          <w:szCs w:val="24"/>
        </w:rPr>
      </w:pPr>
    </w:p>
    <w:p w14:paraId="0113BA70" w14:textId="4CE98279" w:rsidR="006E502C" w:rsidRPr="00DC188F" w:rsidRDefault="006E502C" w:rsidP="00DC188F">
      <w:pPr>
        <w:spacing w:line="360" w:lineRule="auto"/>
        <w:ind w:left="360"/>
        <w:rPr>
          <w:rFonts w:ascii="Times New Roman" w:hAnsi="Times New Roman" w:cs="Times New Roman"/>
          <w:b/>
          <w:sz w:val="24"/>
          <w:szCs w:val="24"/>
        </w:rPr>
      </w:pPr>
      <w:r w:rsidRPr="00DC188F">
        <w:rPr>
          <w:rFonts w:ascii="Times New Roman" w:hAnsi="Times New Roman" w:cs="Times New Roman"/>
          <w:b/>
          <w:sz w:val="24"/>
          <w:szCs w:val="24"/>
        </w:rPr>
        <w:lastRenderedPageBreak/>
        <w:t>Daftar Pustaka</w:t>
      </w:r>
    </w:p>
    <w:sdt>
      <w:sdtPr>
        <w:rPr>
          <w:rFonts w:ascii="Times New Roman" w:hAnsi="Times New Roman" w:cs="Times New Roman"/>
          <w:sz w:val="24"/>
          <w:szCs w:val="24"/>
        </w:rPr>
        <w:tag w:val="MENDELEY_BIBLIOGRAPHY"/>
        <w:id w:val="324869985"/>
        <w:placeholder>
          <w:docPart w:val="DefaultPlaceholder_-1854013440"/>
        </w:placeholder>
      </w:sdtPr>
      <w:sdtContent>
        <w:p w14:paraId="65161923" w14:textId="39BB45A4" w:rsidR="00DC188F" w:rsidRPr="00DC188F" w:rsidRDefault="00DC188F" w:rsidP="00DC188F">
          <w:pPr>
            <w:autoSpaceDE w:val="0"/>
            <w:autoSpaceDN w:val="0"/>
            <w:spacing w:line="360" w:lineRule="auto"/>
            <w:ind w:left="360" w:hanging="480"/>
            <w:jc w:val="both"/>
            <w:divId w:val="887954885"/>
            <w:rPr>
              <w:rFonts w:ascii="Times New Roman" w:eastAsia="Times New Roman" w:hAnsi="Times New Roman" w:cs="Times New Roman"/>
              <w:sz w:val="24"/>
              <w:szCs w:val="24"/>
            </w:rPr>
          </w:pPr>
          <w:r w:rsidRPr="00DC188F">
            <w:rPr>
              <w:rFonts w:ascii="Times New Roman" w:eastAsia="Times New Roman" w:hAnsi="Times New Roman" w:cs="Times New Roman"/>
              <w:sz w:val="24"/>
              <w:szCs w:val="24"/>
            </w:rPr>
            <w:t xml:space="preserve">Adesta, F. G. M., &amp; Priyanto, S. (2022). Hak Asasi Manusia Tersangka Tindak Pidana Terorisme: Studi Perbandingan Antara Indonesia Dan Malaysia. </w:t>
          </w:r>
          <w:r w:rsidRPr="00DC188F">
            <w:rPr>
              <w:rFonts w:ascii="Times New Roman" w:eastAsia="Times New Roman" w:hAnsi="Times New Roman" w:cs="Times New Roman"/>
              <w:i/>
              <w:iCs/>
              <w:sz w:val="24"/>
              <w:szCs w:val="24"/>
            </w:rPr>
            <w:t>Journal of Terrorism Studies</w:t>
          </w:r>
          <w:r w:rsidRPr="00DC188F">
            <w:rPr>
              <w:rFonts w:ascii="Times New Roman" w:eastAsia="Times New Roman" w:hAnsi="Times New Roman" w:cs="Times New Roman"/>
              <w:sz w:val="24"/>
              <w:szCs w:val="24"/>
            </w:rPr>
            <w:t xml:space="preserve">, </w:t>
          </w:r>
          <w:r w:rsidRPr="00DC188F">
            <w:rPr>
              <w:rFonts w:ascii="Times New Roman" w:eastAsia="Times New Roman" w:hAnsi="Times New Roman" w:cs="Times New Roman"/>
              <w:i/>
              <w:iCs/>
              <w:sz w:val="24"/>
              <w:szCs w:val="24"/>
            </w:rPr>
            <w:t>4</w:t>
          </w:r>
          <w:r w:rsidRPr="00DC188F">
            <w:rPr>
              <w:rFonts w:ascii="Times New Roman" w:eastAsia="Times New Roman" w:hAnsi="Times New Roman" w:cs="Times New Roman"/>
              <w:sz w:val="24"/>
              <w:szCs w:val="24"/>
            </w:rPr>
            <w:t>(1). https://doi.org/10.7454/jts.v4i1.1046</w:t>
          </w:r>
        </w:p>
        <w:p w14:paraId="1BCF533F" w14:textId="46344946" w:rsidR="00DC188F" w:rsidRPr="00DC188F" w:rsidRDefault="00DC188F" w:rsidP="00DC188F">
          <w:pPr>
            <w:autoSpaceDE w:val="0"/>
            <w:autoSpaceDN w:val="0"/>
            <w:spacing w:line="360" w:lineRule="auto"/>
            <w:ind w:left="360" w:hanging="480"/>
            <w:jc w:val="both"/>
            <w:divId w:val="388922788"/>
            <w:rPr>
              <w:rFonts w:ascii="Times New Roman" w:eastAsia="Times New Roman" w:hAnsi="Times New Roman" w:cs="Times New Roman"/>
              <w:sz w:val="24"/>
              <w:szCs w:val="24"/>
            </w:rPr>
          </w:pPr>
          <w:r w:rsidRPr="00DC188F">
            <w:rPr>
              <w:rFonts w:ascii="Times New Roman" w:eastAsia="Times New Roman" w:hAnsi="Times New Roman" w:cs="Times New Roman"/>
              <w:sz w:val="24"/>
              <w:szCs w:val="24"/>
            </w:rPr>
            <w:t xml:space="preserve">Setiawan, A. R. A., &amp; Putranto, R. D. (2023). Perbandingan Regulasi Penanganan Kejahatan Terorisme Di Indonesia Dan Malaysia. </w:t>
          </w:r>
          <w:r w:rsidRPr="00DC188F">
            <w:rPr>
              <w:rFonts w:ascii="Times New Roman" w:eastAsia="Times New Roman" w:hAnsi="Times New Roman" w:cs="Times New Roman"/>
              <w:i/>
              <w:iCs/>
              <w:sz w:val="24"/>
              <w:szCs w:val="24"/>
            </w:rPr>
            <w:t xml:space="preserve">Journal Evidence </w:t>
          </w:r>
          <w:proofErr w:type="gramStart"/>
          <w:r w:rsidRPr="00DC188F">
            <w:rPr>
              <w:rFonts w:ascii="Times New Roman" w:eastAsia="Times New Roman" w:hAnsi="Times New Roman" w:cs="Times New Roman"/>
              <w:i/>
              <w:iCs/>
              <w:sz w:val="24"/>
              <w:szCs w:val="24"/>
            </w:rPr>
            <w:t>Of</w:t>
          </w:r>
          <w:proofErr w:type="gramEnd"/>
          <w:r w:rsidRPr="00DC188F">
            <w:rPr>
              <w:rFonts w:ascii="Times New Roman" w:eastAsia="Times New Roman" w:hAnsi="Times New Roman" w:cs="Times New Roman"/>
              <w:i/>
              <w:iCs/>
              <w:sz w:val="24"/>
              <w:szCs w:val="24"/>
            </w:rPr>
            <w:t xml:space="preserve"> Law</w:t>
          </w:r>
          <w:r w:rsidRPr="00DC188F">
            <w:rPr>
              <w:rFonts w:ascii="Times New Roman" w:eastAsia="Times New Roman" w:hAnsi="Times New Roman" w:cs="Times New Roman"/>
              <w:sz w:val="24"/>
              <w:szCs w:val="24"/>
            </w:rPr>
            <w:t xml:space="preserve">, </w:t>
          </w:r>
          <w:r w:rsidRPr="00DC188F">
            <w:rPr>
              <w:rFonts w:ascii="Times New Roman" w:eastAsia="Times New Roman" w:hAnsi="Times New Roman" w:cs="Times New Roman"/>
              <w:i/>
              <w:iCs/>
              <w:sz w:val="24"/>
              <w:szCs w:val="24"/>
            </w:rPr>
            <w:t>2</w:t>
          </w:r>
          <w:r w:rsidRPr="00DC188F">
            <w:rPr>
              <w:rFonts w:ascii="Times New Roman" w:eastAsia="Times New Roman" w:hAnsi="Times New Roman" w:cs="Times New Roman"/>
              <w:sz w:val="24"/>
              <w:szCs w:val="24"/>
            </w:rPr>
            <w:t>(2). https://jurnal.erapublikasi.id/index.php/JEL</w:t>
          </w:r>
        </w:p>
        <w:p w14:paraId="7BB95134" w14:textId="6C5ED307" w:rsidR="00DC188F" w:rsidRPr="00DC188F" w:rsidRDefault="00DC188F" w:rsidP="00DC188F">
          <w:pPr>
            <w:autoSpaceDE w:val="0"/>
            <w:autoSpaceDN w:val="0"/>
            <w:spacing w:line="360" w:lineRule="auto"/>
            <w:ind w:left="360" w:hanging="480"/>
            <w:jc w:val="both"/>
            <w:divId w:val="390932954"/>
            <w:rPr>
              <w:rFonts w:ascii="Times New Roman" w:eastAsia="Times New Roman" w:hAnsi="Times New Roman" w:cs="Times New Roman"/>
              <w:sz w:val="24"/>
              <w:szCs w:val="24"/>
            </w:rPr>
          </w:pPr>
          <w:r w:rsidRPr="00DC188F">
            <w:rPr>
              <w:rFonts w:ascii="Times New Roman" w:eastAsia="Times New Roman" w:hAnsi="Times New Roman" w:cs="Times New Roman"/>
              <w:sz w:val="24"/>
              <w:szCs w:val="24"/>
            </w:rPr>
            <w:t xml:space="preserve">Anakotta, M. Y. (2020). Kebijakan Sistem Penegakan Hukum Terhadap Penanggulangan Tindak Pidana Terorisme Melalui Pendekatan Integral. </w:t>
          </w:r>
          <w:r w:rsidRPr="00DC188F">
            <w:rPr>
              <w:rFonts w:ascii="Times New Roman" w:eastAsia="Times New Roman" w:hAnsi="Times New Roman" w:cs="Times New Roman"/>
              <w:i/>
              <w:iCs/>
              <w:sz w:val="24"/>
              <w:szCs w:val="24"/>
            </w:rPr>
            <w:t>Jurnal Belo</w:t>
          </w:r>
          <w:r w:rsidRPr="00DC188F">
            <w:rPr>
              <w:rFonts w:ascii="Times New Roman" w:eastAsia="Times New Roman" w:hAnsi="Times New Roman" w:cs="Times New Roman"/>
              <w:sz w:val="24"/>
              <w:szCs w:val="24"/>
            </w:rPr>
            <w:t xml:space="preserve">, </w:t>
          </w:r>
          <w:r w:rsidRPr="00DC188F">
            <w:rPr>
              <w:rFonts w:ascii="Times New Roman" w:eastAsia="Times New Roman" w:hAnsi="Times New Roman" w:cs="Times New Roman"/>
              <w:i/>
              <w:iCs/>
              <w:sz w:val="24"/>
              <w:szCs w:val="24"/>
            </w:rPr>
            <w:t>5</w:t>
          </w:r>
          <w:r w:rsidRPr="00DC188F">
            <w:rPr>
              <w:rFonts w:ascii="Times New Roman" w:eastAsia="Times New Roman" w:hAnsi="Times New Roman" w:cs="Times New Roman"/>
              <w:sz w:val="24"/>
              <w:szCs w:val="24"/>
            </w:rPr>
            <w:t>.</w:t>
          </w:r>
        </w:p>
        <w:p w14:paraId="0F6D365F" w14:textId="77777777" w:rsidR="00DC188F" w:rsidRPr="00DC188F" w:rsidRDefault="00DC188F" w:rsidP="00DC188F">
          <w:pPr>
            <w:autoSpaceDE w:val="0"/>
            <w:autoSpaceDN w:val="0"/>
            <w:spacing w:line="360" w:lineRule="auto"/>
            <w:ind w:left="360" w:hanging="480"/>
            <w:jc w:val="both"/>
            <w:divId w:val="542059155"/>
            <w:rPr>
              <w:rFonts w:ascii="Times New Roman" w:eastAsia="Times New Roman" w:hAnsi="Times New Roman" w:cs="Times New Roman"/>
              <w:sz w:val="24"/>
              <w:szCs w:val="24"/>
            </w:rPr>
          </w:pPr>
          <w:r w:rsidRPr="00DC188F">
            <w:rPr>
              <w:rFonts w:ascii="Times New Roman" w:eastAsia="Times New Roman" w:hAnsi="Times New Roman" w:cs="Times New Roman"/>
              <w:sz w:val="24"/>
              <w:szCs w:val="24"/>
            </w:rPr>
            <w:t xml:space="preserve">Darma, N. B., Wahyuningsih, S. E., &amp; Hanim, L. (2018). Kebijakan Formulasi Hukum Pidana Dalam Penanggulangan Tindak Pidana Terorisme Di Indonesia. </w:t>
          </w:r>
          <w:r w:rsidRPr="00DC188F">
            <w:rPr>
              <w:rFonts w:ascii="Times New Roman" w:eastAsia="Times New Roman" w:hAnsi="Times New Roman" w:cs="Times New Roman"/>
              <w:i/>
              <w:iCs/>
              <w:sz w:val="24"/>
              <w:szCs w:val="24"/>
            </w:rPr>
            <w:t>Jurnal Daulat Hukum</w:t>
          </w:r>
          <w:r w:rsidRPr="00DC188F">
            <w:rPr>
              <w:rFonts w:ascii="Times New Roman" w:eastAsia="Times New Roman" w:hAnsi="Times New Roman" w:cs="Times New Roman"/>
              <w:sz w:val="24"/>
              <w:szCs w:val="24"/>
            </w:rPr>
            <w:t xml:space="preserve">, </w:t>
          </w:r>
          <w:r w:rsidRPr="00DC188F">
            <w:rPr>
              <w:rFonts w:ascii="Times New Roman" w:eastAsia="Times New Roman" w:hAnsi="Times New Roman" w:cs="Times New Roman"/>
              <w:i/>
              <w:iCs/>
              <w:sz w:val="24"/>
              <w:szCs w:val="24"/>
            </w:rPr>
            <w:t>1</w:t>
          </w:r>
          <w:r w:rsidRPr="00DC188F">
            <w:rPr>
              <w:rFonts w:ascii="Times New Roman" w:eastAsia="Times New Roman" w:hAnsi="Times New Roman" w:cs="Times New Roman"/>
              <w:sz w:val="24"/>
              <w:szCs w:val="24"/>
            </w:rPr>
            <w:t>.</w:t>
          </w:r>
        </w:p>
        <w:p w14:paraId="6BCBA55D" w14:textId="77777777" w:rsidR="00DC188F" w:rsidRPr="00DC188F" w:rsidRDefault="00DC188F" w:rsidP="00DC188F">
          <w:pPr>
            <w:autoSpaceDE w:val="0"/>
            <w:autoSpaceDN w:val="0"/>
            <w:spacing w:line="360" w:lineRule="auto"/>
            <w:ind w:left="360" w:hanging="480"/>
            <w:jc w:val="both"/>
            <w:divId w:val="1304237094"/>
            <w:rPr>
              <w:rFonts w:ascii="Times New Roman" w:eastAsia="Times New Roman" w:hAnsi="Times New Roman" w:cs="Times New Roman"/>
              <w:sz w:val="24"/>
              <w:szCs w:val="24"/>
            </w:rPr>
          </w:pPr>
          <w:r w:rsidRPr="00DC188F">
            <w:rPr>
              <w:rFonts w:ascii="Times New Roman" w:eastAsia="Times New Roman" w:hAnsi="Times New Roman" w:cs="Times New Roman"/>
              <w:sz w:val="24"/>
              <w:szCs w:val="24"/>
            </w:rPr>
            <w:t xml:space="preserve">Dwi Putranto, R., &amp; Harvelian, A. (2023). Group Counseling as an Effort to Improve Effectiveness Implementation of Correction Client Personality Guidance (Case Study at West Jakarta Class 1 Penitentiary). </w:t>
          </w:r>
          <w:r w:rsidRPr="00DC188F">
            <w:rPr>
              <w:rFonts w:ascii="Times New Roman" w:eastAsia="Times New Roman" w:hAnsi="Times New Roman" w:cs="Times New Roman"/>
              <w:i/>
              <w:iCs/>
              <w:sz w:val="24"/>
              <w:szCs w:val="24"/>
            </w:rPr>
            <w:t>POSTULAT</w:t>
          </w:r>
          <w:r w:rsidRPr="00DC188F">
            <w:rPr>
              <w:rFonts w:ascii="Times New Roman" w:eastAsia="Times New Roman" w:hAnsi="Times New Roman" w:cs="Times New Roman"/>
              <w:sz w:val="24"/>
              <w:szCs w:val="24"/>
            </w:rPr>
            <w:t xml:space="preserve">, </w:t>
          </w:r>
          <w:r w:rsidRPr="00DC188F">
            <w:rPr>
              <w:rFonts w:ascii="Times New Roman" w:eastAsia="Times New Roman" w:hAnsi="Times New Roman" w:cs="Times New Roman"/>
              <w:i/>
              <w:iCs/>
              <w:sz w:val="24"/>
              <w:szCs w:val="24"/>
            </w:rPr>
            <w:t>1</w:t>
          </w:r>
          <w:r w:rsidRPr="00DC188F">
            <w:rPr>
              <w:rFonts w:ascii="Times New Roman" w:eastAsia="Times New Roman" w:hAnsi="Times New Roman" w:cs="Times New Roman"/>
              <w:sz w:val="24"/>
              <w:szCs w:val="24"/>
            </w:rPr>
            <w:t>(1), 1–7. https://doi.org/10.37010/postulat.v1i1.1137</w:t>
          </w:r>
        </w:p>
        <w:p w14:paraId="7E93CC3B" w14:textId="0A0A1AEE" w:rsidR="00DC188F" w:rsidRPr="00DC188F" w:rsidRDefault="00DC188F" w:rsidP="00DC188F">
          <w:pPr>
            <w:autoSpaceDE w:val="0"/>
            <w:autoSpaceDN w:val="0"/>
            <w:spacing w:line="360" w:lineRule="auto"/>
            <w:ind w:left="360" w:hanging="480"/>
            <w:jc w:val="both"/>
            <w:divId w:val="351226081"/>
            <w:rPr>
              <w:rFonts w:ascii="Times New Roman" w:eastAsia="Times New Roman" w:hAnsi="Times New Roman" w:cs="Times New Roman"/>
              <w:sz w:val="24"/>
              <w:szCs w:val="24"/>
            </w:rPr>
          </w:pPr>
          <w:r w:rsidRPr="00DC188F">
            <w:rPr>
              <w:rFonts w:ascii="Times New Roman" w:eastAsia="Times New Roman" w:hAnsi="Times New Roman" w:cs="Times New Roman"/>
              <w:sz w:val="24"/>
              <w:szCs w:val="24"/>
            </w:rPr>
            <w:t xml:space="preserve">Elfiana, ---------------------Nurul, Adawiyah, R., &amp; Robbani, H. (2023). Implementasi Sistem Manajemen Mutu Iso 29993:2017 Pada Klausul Fasilitator Di Program Pelatihan Perdagangan Ekspor Lpk Global Edukasi Talenta Inkubator. </w:t>
          </w:r>
          <w:r w:rsidRPr="00DC188F">
            <w:rPr>
              <w:rFonts w:ascii="Times New Roman" w:eastAsia="Times New Roman" w:hAnsi="Times New Roman" w:cs="Times New Roman"/>
              <w:i/>
              <w:iCs/>
              <w:sz w:val="24"/>
              <w:szCs w:val="24"/>
            </w:rPr>
            <w:t>JUDICIOUS</w:t>
          </w:r>
          <w:r w:rsidRPr="00DC188F">
            <w:rPr>
              <w:rFonts w:ascii="Times New Roman" w:eastAsia="Times New Roman" w:hAnsi="Times New Roman" w:cs="Times New Roman"/>
              <w:sz w:val="24"/>
              <w:szCs w:val="24"/>
            </w:rPr>
            <w:t xml:space="preserve">, </w:t>
          </w:r>
          <w:r w:rsidRPr="00DC188F">
            <w:rPr>
              <w:rFonts w:ascii="Times New Roman" w:eastAsia="Times New Roman" w:hAnsi="Times New Roman" w:cs="Times New Roman"/>
              <w:i/>
              <w:iCs/>
              <w:sz w:val="24"/>
              <w:szCs w:val="24"/>
            </w:rPr>
            <w:t>4</w:t>
          </w:r>
          <w:r w:rsidRPr="00DC188F">
            <w:rPr>
              <w:rFonts w:ascii="Times New Roman" w:eastAsia="Times New Roman" w:hAnsi="Times New Roman" w:cs="Times New Roman"/>
              <w:sz w:val="24"/>
              <w:szCs w:val="24"/>
            </w:rPr>
            <w:t>, 67–82. https://doi.org/10.37010/jdc.v4i1</w:t>
          </w:r>
        </w:p>
        <w:p w14:paraId="070EDF8F" w14:textId="646F35DA" w:rsidR="00DC188F" w:rsidRPr="00DC188F" w:rsidRDefault="00DC188F" w:rsidP="00DC188F">
          <w:pPr>
            <w:autoSpaceDE w:val="0"/>
            <w:autoSpaceDN w:val="0"/>
            <w:spacing w:line="360" w:lineRule="auto"/>
            <w:ind w:left="360" w:hanging="480"/>
            <w:jc w:val="both"/>
            <w:divId w:val="24411976"/>
            <w:rPr>
              <w:rFonts w:ascii="Times New Roman" w:eastAsia="Times New Roman" w:hAnsi="Times New Roman" w:cs="Times New Roman"/>
              <w:sz w:val="24"/>
              <w:szCs w:val="24"/>
            </w:rPr>
          </w:pPr>
          <w:r w:rsidRPr="00DC188F">
            <w:rPr>
              <w:rFonts w:ascii="Times New Roman" w:eastAsia="Times New Roman" w:hAnsi="Times New Roman" w:cs="Times New Roman"/>
              <w:sz w:val="24"/>
              <w:szCs w:val="24"/>
            </w:rPr>
            <w:t xml:space="preserve">Firmansyah, H. (2011). Upaya Penanggulangan Tindak Pidana Terorisme Di Indonesia. </w:t>
          </w:r>
          <w:r w:rsidRPr="00DC188F">
            <w:rPr>
              <w:rFonts w:ascii="Times New Roman" w:eastAsia="Times New Roman" w:hAnsi="Times New Roman" w:cs="Times New Roman"/>
              <w:i/>
              <w:iCs/>
              <w:sz w:val="24"/>
              <w:szCs w:val="24"/>
            </w:rPr>
            <w:t>MIMBAR HUKUM</w:t>
          </w:r>
          <w:r w:rsidRPr="00DC188F">
            <w:rPr>
              <w:rFonts w:ascii="Times New Roman" w:eastAsia="Times New Roman" w:hAnsi="Times New Roman" w:cs="Times New Roman"/>
              <w:sz w:val="24"/>
              <w:szCs w:val="24"/>
            </w:rPr>
            <w:t xml:space="preserve">, </w:t>
          </w:r>
          <w:r w:rsidRPr="00DC188F">
            <w:rPr>
              <w:rFonts w:ascii="Times New Roman" w:eastAsia="Times New Roman" w:hAnsi="Times New Roman" w:cs="Times New Roman"/>
              <w:i/>
              <w:iCs/>
              <w:sz w:val="24"/>
              <w:szCs w:val="24"/>
            </w:rPr>
            <w:t>23</w:t>
          </w:r>
          <w:r w:rsidRPr="00DC188F">
            <w:rPr>
              <w:rFonts w:ascii="Times New Roman" w:eastAsia="Times New Roman" w:hAnsi="Times New Roman" w:cs="Times New Roman"/>
              <w:sz w:val="24"/>
              <w:szCs w:val="24"/>
            </w:rPr>
            <w:t>, 237–429.</w:t>
          </w:r>
        </w:p>
        <w:p w14:paraId="60A3289F" w14:textId="77777777" w:rsidR="00DC188F" w:rsidRPr="00DC188F" w:rsidRDefault="00DC188F" w:rsidP="00DC188F">
          <w:pPr>
            <w:autoSpaceDE w:val="0"/>
            <w:autoSpaceDN w:val="0"/>
            <w:spacing w:line="360" w:lineRule="auto"/>
            <w:ind w:left="360" w:hanging="480"/>
            <w:jc w:val="both"/>
            <w:divId w:val="633945238"/>
            <w:rPr>
              <w:rFonts w:ascii="Times New Roman" w:eastAsia="Times New Roman" w:hAnsi="Times New Roman" w:cs="Times New Roman"/>
              <w:sz w:val="24"/>
              <w:szCs w:val="24"/>
            </w:rPr>
          </w:pPr>
          <w:r w:rsidRPr="00DC188F">
            <w:rPr>
              <w:rFonts w:ascii="Times New Roman" w:eastAsia="Times New Roman" w:hAnsi="Times New Roman" w:cs="Times New Roman"/>
              <w:sz w:val="24"/>
              <w:szCs w:val="24"/>
            </w:rPr>
            <w:t xml:space="preserve">Mujib, S., &amp; Halkis, M. (2022). Upaya Pemerintah Malaysia Menanggulangi Masalah Terorisme. </w:t>
          </w:r>
          <w:r w:rsidRPr="00DC188F">
            <w:rPr>
              <w:rFonts w:ascii="Times New Roman" w:eastAsia="Times New Roman" w:hAnsi="Times New Roman" w:cs="Times New Roman"/>
              <w:i/>
              <w:iCs/>
              <w:sz w:val="24"/>
              <w:szCs w:val="24"/>
            </w:rPr>
            <w:t>Online) Sospol: Jurnal Sosial Politik</w:t>
          </w:r>
          <w:r w:rsidRPr="00DC188F">
            <w:rPr>
              <w:rFonts w:ascii="Times New Roman" w:eastAsia="Times New Roman" w:hAnsi="Times New Roman" w:cs="Times New Roman"/>
              <w:sz w:val="24"/>
              <w:szCs w:val="24"/>
            </w:rPr>
            <w:t xml:space="preserve">, </w:t>
          </w:r>
          <w:r w:rsidRPr="00DC188F">
            <w:rPr>
              <w:rFonts w:ascii="Times New Roman" w:eastAsia="Times New Roman" w:hAnsi="Times New Roman" w:cs="Times New Roman"/>
              <w:i/>
              <w:iCs/>
              <w:sz w:val="24"/>
              <w:szCs w:val="24"/>
            </w:rPr>
            <w:t>8</w:t>
          </w:r>
          <w:r w:rsidRPr="00DC188F">
            <w:rPr>
              <w:rFonts w:ascii="Times New Roman" w:eastAsia="Times New Roman" w:hAnsi="Times New Roman" w:cs="Times New Roman"/>
              <w:sz w:val="24"/>
              <w:szCs w:val="24"/>
            </w:rPr>
            <w:t>(2), 225–240. https://doi.org/10.22219/jurnalsospol.v8i2.22549</w:t>
          </w:r>
        </w:p>
        <w:p w14:paraId="6E5A3406" w14:textId="77777777" w:rsidR="00DC188F" w:rsidRPr="00DC188F" w:rsidRDefault="00DC188F" w:rsidP="00DC188F">
          <w:pPr>
            <w:autoSpaceDE w:val="0"/>
            <w:autoSpaceDN w:val="0"/>
            <w:spacing w:line="360" w:lineRule="auto"/>
            <w:ind w:left="360" w:hanging="480"/>
            <w:jc w:val="both"/>
            <w:divId w:val="1480927760"/>
            <w:rPr>
              <w:rFonts w:ascii="Times New Roman" w:eastAsia="Times New Roman" w:hAnsi="Times New Roman" w:cs="Times New Roman"/>
              <w:sz w:val="24"/>
              <w:szCs w:val="24"/>
            </w:rPr>
          </w:pPr>
          <w:r w:rsidRPr="00DC188F">
            <w:rPr>
              <w:rFonts w:ascii="Times New Roman" w:eastAsia="Times New Roman" w:hAnsi="Times New Roman" w:cs="Times New Roman"/>
              <w:sz w:val="24"/>
              <w:szCs w:val="24"/>
            </w:rPr>
            <w:t xml:space="preserve">Rachma, A. D. (2020). Perbandingan Hukum Terhadap Tindak Pidana Terorisme di Indonesia dan Filipina. </w:t>
          </w:r>
          <w:r w:rsidRPr="00DC188F">
            <w:rPr>
              <w:rFonts w:ascii="Times New Roman" w:eastAsia="Times New Roman" w:hAnsi="Times New Roman" w:cs="Times New Roman"/>
              <w:i/>
              <w:iCs/>
              <w:sz w:val="24"/>
              <w:szCs w:val="24"/>
            </w:rPr>
            <w:t>Jurnal Pembaru Hukum</w:t>
          </w:r>
          <w:r w:rsidRPr="00DC188F">
            <w:rPr>
              <w:rFonts w:ascii="Times New Roman" w:eastAsia="Times New Roman" w:hAnsi="Times New Roman" w:cs="Times New Roman"/>
              <w:sz w:val="24"/>
              <w:szCs w:val="24"/>
            </w:rPr>
            <w:t xml:space="preserve">, </w:t>
          </w:r>
          <w:r w:rsidRPr="00DC188F">
            <w:rPr>
              <w:rFonts w:ascii="Times New Roman" w:eastAsia="Times New Roman" w:hAnsi="Times New Roman" w:cs="Times New Roman"/>
              <w:i/>
              <w:iCs/>
              <w:sz w:val="24"/>
              <w:szCs w:val="24"/>
            </w:rPr>
            <w:t>1</w:t>
          </w:r>
          <w:r w:rsidRPr="00DC188F">
            <w:rPr>
              <w:rFonts w:ascii="Times New Roman" w:eastAsia="Times New Roman" w:hAnsi="Times New Roman" w:cs="Times New Roman"/>
              <w:sz w:val="24"/>
              <w:szCs w:val="24"/>
            </w:rPr>
            <w:t>. https://doi.org/10.24905/diktum.v8i1.89</w:t>
          </w:r>
        </w:p>
        <w:p w14:paraId="158AC956" w14:textId="31112E00" w:rsidR="00DC188F" w:rsidRPr="00DC188F" w:rsidRDefault="00DC188F" w:rsidP="00DC188F">
          <w:pPr>
            <w:autoSpaceDE w:val="0"/>
            <w:autoSpaceDN w:val="0"/>
            <w:spacing w:line="360" w:lineRule="auto"/>
            <w:ind w:left="360" w:hanging="480"/>
            <w:jc w:val="both"/>
            <w:divId w:val="1040517290"/>
            <w:rPr>
              <w:rFonts w:ascii="Times New Roman" w:eastAsia="Times New Roman" w:hAnsi="Times New Roman" w:cs="Times New Roman"/>
              <w:sz w:val="24"/>
              <w:szCs w:val="24"/>
            </w:rPr>
          </w:pPr>
          <w:r w:rsidRPr="00DC188F">
            <w:rPr>
              <w:rFonts w:ascii="Times New Roman" w:eastAsia="Times New Roman" w:hAnsi="Times New Roman" w:cs="Times New Roman"/>
              <w:sz w:val="24"/>
              <w:szCs w:val="24"/>
            </w:rPr>
            <w:lastRenderedPageBreak/>
            <w:t xml:space="preserve">Putra, A., &amp; Lukitasari, D. (2019). Perbandingan Pengaturan Tindak Pidana Terorisme Di Indonesia Dan Malaysia. </w:t>
          </w:r>
          <w:r w:rsidRPr="00DC188F">
            <w:rPr>
              <w:rFonts w:ascii="Times New Roman" w:eastAsia="Times New Roman" w:hAnsi="Times New Roman" w:cs="Times New Roman"/>
              <w:i/>
              <w:iCs/>
              <w:sz w:val="24"/>
              <w:szCs w:val="24"/>
            </w:rPr>
            <w:t>Recidive</w:t>
          </w:r>
          <w:r w:rsidRPr="00DC188F">
            <w:rPr>
              <w:rFonts w:ascii="Times New Roman" w:eastAsia="Times New Roman" w:hAnsi="Times New Roman" w:cs="Times New Roman"/>
              <w:sz w:val="24"/>
              <w:szCs w:val="24"/>
            </w:rPr>
            <w:t xml:space="preserve">, </w:t>
          </w:r>
          <w:r w:rsidRPr="00DC188F">
            <w:rPr>
              <w:rFonts w:ascii="Times New Roman" w:eastAsia="Times New Roman" w:hAnsi="Times New Roman" w:cs="Times New Roman"/>
              <w:i/>
              <w:iCs/>
              <w:sz w:val="24"/>
              <w:szCs w:val="24"/>
            </w:rPr>
            <w:t>8</w:t>
          </w:r>
          <w:r w:rsidRPr="00DC188F">
            <w:rPr>
              <w:rFonts w:ascii="Times New Roman" w:eastAsia="Times New Roman" w:hAnsi="Times New Roman" w:cs="Times New Roman"/>
              <w:sz w:val="24"/>
              <w:szCs w:val="24"/>
            </w:rPr>
            <w:t>(1). http://www.viva.co.id/berita/nasional/598028-950-orang-terlibat-</w:t>
          </w:r>
        </w:p>
        <w:p w14:paraId="085AA52A" w14:textId="1714B12E" w:rsidR="00DC188F" w:rsidRPr="00DC188F" w:rsidRDefault="00DC188F" w:rsidP="00DC188F">
          <w:pPr>
            <w:autoSpaceDE w:val="0"/>
            <w:autoSpaceDN w:val="0"/>
            <w:spacing w:line="360" w:lineRule="auto"/>
            <w:ind w:left="360" w:hanging="480"/>
            <w:jc w:val="both"/>
            <w:divId w:val="1728071036"/>
            <w:rPr>
              <w:rFonts w:ascii="Times New Roman" w:eastAsia="Times New Roman" w:hAnsi="Times New Roman" w:cs="Times New Roman"/>
              <w:sz w:val="24"/>
              <w:szCs w:val="24"/>
            </w:rPr>
          </w:pPr>
          <w:r w:rsidRPr="00DC188F">
            <w:rPr>
              <w:rFonts w:ascii="Times New Roman" w:eastAsia="Times New Roman" w:hAnsi="Times New Roman" w:cs="Times New Roman"/>
              <w:sz w:val="24"/>
              <w:szCs w:val="24"/>
            </w:rPr>
            <w:t xml:space="preserve">Soetridai, E. (2008). </w:t>
          </w:r>
          <w:r w:rsidRPr="00DC188F">
            <w:rPr>
              <w:rFonts w:ascii="Times New Roman" w:eastAsia="Times New Roman" w:hAnsi="Times New Roman" w:cs="Times New Roman"/>
              <w:i/>
              <w:iCs/>
              <w:sz w:val="24"/>
              <w:szCs w:val="24"/>
            </w:rPr>
            <w:t>Kebijakan Penanggulangan Tindak Pidana Terorisme Dengan Hukum Pidana</w:t>
          </w:r>
          <w:r w:rsidRPr="00DC188F">
            <w:rPr>
              <w:rFonts w:ascii="Times New Roman" w:eastAsia="Times New Roman" w:hAnsi="Times New Roman" w:cs="Times New Roman"/>
              <w:sz w:val="24"/>
              <w:szCs w:val="24"/>
            </w:rPr>
            <w:t xml:space="preserve"> [Tesis]. Universitas Dipenogoro.</w:t>
          </w:r>
        </w:p>
        <w:p w14:paraId="353F496E" w14:textId="187EE339" w:rsidR="00DC188F" w:rsidRPr="00DC188F" w:rsidRDefault="00DC188F" w:rsidP="00DC188F">
          <w:pPr>
            <w:spacing w:line="360" w:lineRule="auto"/>
            <w:ind w:left="720"/>
            <w:jc w:val="both"/>
            <w:rPr>
              <w:rFonts w:ascii="Times New Roman" w:hAnsi="Times New Roman" w:cs="Times New Roman"/>
              <w:sz w:val="24"/>
              <w:szCs w:val="24"/>
            </w:rPr>
          </w:pPr>
          <w:r w:rsidRPr="00DC188F">
            <w:rPr>
              <w:rFonts w:ascii="Times New Roman" w:eastAsia="Times New Roman" w:hAnsi="Times New Roman" w:cs="Times New Roman"/>
              <w:sz w:val="24"/>
              <w:szCs w:val="24"/>
            </w:rPr>
            <w:t> </w:t>
          </w:r>
        </w:p>
      </w:sdtContent>
    </w:sdt>
    <w:bookmarkStart w:id="0" w:name="_GoBack" w:displacedByCustomXml="prev"/>
    <w:bookmarkEnd w:id="0" w:displacedByCustomXml="prev"/>
    <w:sectPr w:rsidR="00DC188F" w:rsidRPr="00DC18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3F7D32"/>
    <w:multiLevelType w:val="hybridMultilevel"/>
    <w:tmpl w:val="AB94F68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02C"/>
    <w:rsid w:val="0004685F"/>
    <w:rsid w:val="00417388"/>
    <w:rsid w:val="005C397D"/>
    <w:rsid w:val="006E502C"/>
    <w:rsid w:val="007C03FB"/>
    <w:rsid w:val="008876B7"/>
    <w:rsid w:val="008A1CFC"/>
    <w:rsid w:val="008A75DD"/>
    <w:rsid w:val="00913E56"/>
    <w:rsid w:val="00A1573C"/>
    <w:rsid w:val="00AB0434"/>
    <w:rsid w:val="00B2264F"/>
    <w:rsid w:val="00C058AC"/>
    <w:rsid w:val="00DC188F"/>
    <w:rsid w:val="00EF235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13F7"/>
  <w15:chartTrackingRefBased/>
  <w15:docId w15:val="{A43025ED-F463-4AC4-AE4C-FC642F12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02C"/>
    <w:pPr>
      <w:ind w:left="720"/>
      <w:contextualSpacing/>
    </w:pPr>
  </w:style>
  <w:style w:type="character" w:styleId="PlaceholderText">
    <w:name w:val="Placeholder Text"/>
    <w:basedOn w:val="DefaultParagraphFont"/>
    <w:uiPriority w:val="99"/>
    <w:semiHidden/>
    <w:rsid w:val="00EF2353"/>
    <w:rPr>
      <w:color w:val="808080"/>
    </w:rPr>
  </w:style>
  <w:style w:type="paragraph" w:styleId="NormalWeb">
    <w:name w:val="Normal (Web)"/>
    <w:basedOn w:val="Normal"/>
    <w:uiPriority w:val="99"/>
    <w:unhideWhenUsed/>
    <w:rsid w:val="00DC188F"/>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440">
      <w:bodyDiv w:val="1"/>
      <w:marLeft w:val="0"/>
      <w:marRight w:val="0"/>
      <w:marTop w:val="0"/>
      <w:marBottom w:val="0"/>
      <w:divBdr>
        <w:top w:val="none" w:sz="0" w:space="0" w:color="auto"/>
        <w:left w:val="none" w:sz="0" w:space="0" w:color="auto"/>
        <w:bottom w:val="none" w:sz="0" w:space="0" w:color="auto"/>
        <w:right w:val="none" w:sz="0" w:space="0" w:color="auto"/>
      </w:divBdr>
    </w:div>
    <w:div w:id="42800556">
      <w:bodyDiv w:val="1"/>
      <w:marLeft w:val="0"/>
      <w:marRight w:val="0"/>
      <w:marTop w:val="0"/>
      <w:marBottom w:val="0"/>
      <w:divBdr>
        <w:top w:val="none" w:sz="0" w:space="0" w:color="auto"/>
        <w:left w:val="none" w:sz="0" w:space="0" w:color="auto"/>
        <w:bottom w:val="none" w:sz="0" w:space="0" w:color="auto"/>
        <w:right w:val="none" w:sz="0" w:space="0" w:color="auto"/>
      </w:divBdr>
    </w:div>
    <w:div w:id="52391802">
      <w:bodyDiv w:val="1"/>
      <w:marLeft w:val="0"/>
      <w:marRight w:val="0"/>
      <w:marTop w:val="0"/>
      <w:marBottom w:val="0"/>
      <w:divBdr>
        <w:top w:val="none" w:sz="0" w:space="0" w:color="auto"/>
        <w:left w:val="none" w:sz="0" w:space="0" w:color="auto"/>
        <w:bottom w:val="none" w:sz="0" w:space="0" w:color="auto"/>
        <w:right w:val="none" w:sz="0" w:space="0" w:color="auto"/>
      </w:divBdr>
    </w:div>
    <w:div w:id="83571800">
      <w:bodyDiv w:val="1"/>
      <w:marLeft w:val="0"/>
      <w:marRight w:val="0"/>
      <w:marTop w:val="0"/>
      <w:marBottom w:val="0"/>
      <w:divBdr>
        <w:top w:val="none" w:sz="0" w:space="0" w:color="auto"/>
        <w:left w:val="none" w:sz="0" w:space="0" w:color="auto"/>
        <w:bottom w:val="none" w:sz="0" w:space="0" w:color="auto"/>
        <w:right w:val="none" w:sz="0" w:space="0" w:color="auto"/>
      </w:divBdr>
    </w:div>
    <w:div w:id="111629112">
      <w:bodyDiv w:val="1"/>
      <w:marLeft w:val="0"/>
      <w:marRight w:val="0"/>
      <w:marTop w:val="0"/>
      <w:marBottom w:val="0"/>
      <w:divBdr>
        <w:top w:val="none" w:sz="0" w:space="0" w:color="auto"/>
        <w:left w:val="none" w:sz="0" w:space="0" w:color="auto"/>
        <w:bottom w:val="none" w:sz="0" w:space="0" w:color="auto"/>
        <w:right w:val="none" w:sz="0" w:space="0" w:color="auto"/>
      </w:divBdr>
    </w:div>
    <w:div w:id="198973487">
      <w:bodyDiv w:val="1"/>
      <w:marLeft w:val="0"/>
      <w:marRight w:val="0"/>
      <w:marTop w:val="0"/>
      <w:marBottom w:val="0"/>
      <w:divBdr>
        <w:top w:val="none" w:sz="0" w:space="0" w:color="auto"/>
        <w:left w:val="none" w:sz="0" w:space="0" w:color="auto"/>
        <w:bottom w:val="none" w:sz="0" w:space="0" w:color="auto"/>
        <w:right w:val="none" w:sz="0" w:space="0" w:color="auto"/>
      </w:divBdr>
    </w:div>
    <w:div w:id="270363743">
      <w:bodyDiv w:val="1"/>
      <w:marLeft w:val="0"/>
      <w:marRight w:val="0"/>
      <w:marTop w:val="0"/>
      <w:marBottom w:val="0"/>
      <w:divBdr>
        <w:top w:val="none" w:sz="0" w:space="0" w:color="auto"/>
        <w:left w:val="none" w:sz="0" w:space="0" w:color="auto"/>
        <w:bottom w:val="none" w:sz="0" w:space="0" w:color="auto"/>
        <w:right w:val="none" w:sz="0" w:space="0" w:color="auto"/>
      </w:divBdr>
    </w:div>
    <w:div w:id="275448331">
      <w:bodyDiv w:val="1"/>
      <w:marLeft w:val="0"/>
      <w:marRight w:val="0"/>
      <w:marTop w:val="0"/>
      <w:marBottom w:val="0"/>
      <w:divBdr>
        <w:top w:val="none" w:sz="0" w:space="0" w:color="auto"/>
        <w:left w:val="none" w:sz="0" w:space="0" w:color="auto"/>
        <w:bottom w:val="none" w:sz="0" w:space="0" w:color="auto"/>
        <w:right w:val="none" w:sz="0" w:space="0" w:color="auto"/>
      </w:divBdr>
    </w:div>
    <w:div w:id="371419800">
      <w:bodyDiv w:val="1"/>
      <w:marLeft w:val="0"/>
      <w:marRight w:val="0"/>
      <w:marTop w:val="0"/>
      <w:marBottom w:val="0"/>
      <w:divBdr>
        <w:top w:val="none" w:sz="0" w:space="0" w:color="auto"/>
        <w:left w:val="none" w:sz="0" w:space="0" w:color="auto"/>
        <w:bottom w:val="none" w:sz="0" w:space="0" w:color="auto"/>
        <w:right w:val="none" w:sz="0" w:space="0" w:color="auto"/>
      </w:divBdr>
    </w:div>
    <w:div w:id="392853631">
      <w:bodyDiv w:val="1"/>
      <w:marLeft w:val="0"/>
      <w:marRight w:val="0"/>
      <w:marTop w:val="0"/>
      <w:marBottom w:val="0"/>
      <w:divBdr>
        <w:top w:val="none" w:sz="0" w:space="0" w:color="auto"/>
        <w:left w:val="none" w:sz="0" w:space="0" w:color="auto"/>
        <w:bottom w:val="none" w:sz="0" w:space="0" w:color="auto"/>
        <w:right w:val="none" w:sz="0" w:space="0" w:color="auto"/>
      </w:divBdr>
    </w:div>
    <w:div w:id="411707721">
      <w:bodyDiv w:val="1"/>
      <w:marLeft w:val="0"/>
      <w:marRight w:val="0"/>
      <w:marTop w:val="0"/>
      <w:marBottom w:val="0"/>
      <w:divBdr>
        <w:top w:val="none" w:sz="0" w:space="0" w:color="auto"/>
        <w:left w:val="none" w:sz="0" w:space="0" w:color="auto"/>
        <w:bottom w:val="none" w:sz="0" w:space="0" w:color="auto"/>
        <w:right w:val="none" w:sz="0" w:space="0" w:color="auto"/>
      </w:divBdr>
    </w:div>
    <w:div w:id="436603365">
      <w:bodyDiv w:val="1"/>
      <w:marLeft w:val="0"/>
      <w:marRight w:val="0"/>
      <w:marTop w:val="0"/>
      <w:marBottom w:val="0"/>
      <w:divBdr>
        <w:top w:val="none" w:sz="0" w:space="0" w:color="auto"/>
        <w:left w:val="none" w:sz="0" w:space="0" w:color="auto"/>
        <w:bottom w:val="none" w:sz="0" w:space="0" w:color="auto"/>
        <w:right w:val="none" w:sz="0" w:space="0" w:color="auto"/>
      </w:divBdr>
    </w:div>
    <w:div w:id="458845234">
      <w:bodyDiv w:val="1"/>
      <w:marLeft w:val="0"/>
      <w:marRight w:val="0"/>
      <w:marTop w:val="0"/>
      <w:marBottom w:val="0"/>
      <w:divBdr>
        <w:top w:val="none" w:sz="0" w:space="0" w:color="auto"/>
        <w:left w:val="none" w:sz="0" w:space="0" w:color="auto"/>
        <w:bottom w:val="none" w:sz="0" w:space="0" w:color="auto"/>
        <w:right w:val="none" w:sz="0" w:space="0" w:color="auto"/>
      </w:divBdr>
    </w:div>
    <w:div w:id="560405308">
      <w:bodyDiv w:val="1"/>
      <w:marLeft w:val="0"/>
      <w:marRight w:val="0"/>
      <w:marTop w:val="0"/>
      <w:marBottom w:val="0"/>
      <w:divBdr>
        <w:top w:val="none" w:sz="0" w:space="0" w:color="auto"/>
        <w:left w:val="none" w:sz="0" w:space="0" w:color="auto"/>
        <w:bottom w:val="none" w:sz="0" w:space="0" w:color="auto"/>
        <w:right w:val="none" w:sz="0" w:space="0" w:color="auto"/>
      </w:divBdr>
    </w:div>
    <w:div w:id="609623662">
      <w:bodyDiv w:val="1"/>
      <w:marLeft w:val="0"/>
      <w:marRight w:val="0"/>
      <w:marTop w:val="0"/>
      <w:marBottom w:val="0"/>
      <w:divBdr>
        <w:top w:val="none" w:sz="0" w:space="0" w:color="auto"/>
        <w:left w:val="none" w:sz="0" w:space="0" w:color="auto"/>
        <w:bottom w:val="none" w:sz="0" w:space="0" w:color="auto"/>
        <w:right w:val="none" w:sz="0" w:space="0" w:color="auto"/>
      </w:divBdr>
    </w:div>
    <w:div w:id="633025973">
      <w:bodyDiv w:val="1"/>
      <w:marLeft w:val="0"/>
      <w:marRight w:val="0"/>
      <w:marTop w:val="0"/>
      <w:marBottom w:val="0"/>
      <w:divBdr>
        <w:top w:val="none" w:sz="0" w:space="0" w:color="auto"/>
        <w:left w:val="none" w:sz="0" w:space="0" w:color="auto"/>
        <w:bottom w:val="none" w:sz="0" w:space="0" w:color="auto"/>
        <w:right w:val="none" w:sz="0" w:space="0" w:color="auto"/>
      </w:divBdr>
    </w:div>
    <w:div w:id="642152109">
      <w:bodyDiv w:val="1"/>
      <w:marLeft w:val="0"/>
      <w:marRight w:val="0"/>
      <w:marTop w:val="0"/>
      <w:marBottom w:val="0"/>
      <w:divBdr>
        <w:top w:val="none" w:sz="0" w:space="0" w:color="auto"/>
        <w:left w:val="none" w:sz="0" w:space="0" w:color="auto"/>
        <w:bottom w:val="none" w:sz="0" w:space="0" w:color="auto"/>
        <w:right w:val="none" w:sz="0" w:space="0" w:color="auto"/>
      </w:divBdr>
    </w:div>
    <w:div w:id="662466220">
      <w:bodyDiv w:val="1"/>
      <w:marLeft w:val="0"/>
      <w:marRight w:val="0"/>
      <w:marTop w:val="0"/>
      <w:marBottom w:val="0"/>
      <w:divBdr>
        <w:top w:val="none" w:sz="0" w:space="0" w:color="auto"/>
        <w:left w:val="none" w:sz="0" w:space="0" w:color="auto"/>
        <w:bottom w:val="none" w:sz="0" w:space="0" w:color="auto"/>
        <w:right w:val="none" w:sz="0" w:space="0" w:color="auto"/>
      </w:divBdr>
    </w:div>
    <w:div w:id="679897036">
      <w:bodyDiv w:val="1"/>
      <w:marLeft w:val="0"/>
      <w:marRight w:val="0"/>
      <w:marTop w:val="0"/>
      <w:marBottom w:val="0"/>
      <w:divBdr>
        <w:top w:val="none" w:sz="0" w:space="0" w:color="auto"/>
        <w:left w:val="none" w:sz="0" w:space="0" w:color="auto"/>
        <w:bottom w:val="none" w:sz="0" w:space="0" w:color="auto"/>
        <w:right w:val="none" w:sz="0" w:space="0" w:color="auto"/>
      </w:divBdr>
    </w:div>
    <w:div w:id="750473057">
      <w:bodyDiv w:val="1"/>
      <w:marLeft w:val="0"/>
      <w:marRight w:val="0"/>
      <w:marTop w:val="0"/>
      <w:marBottom w:val="0"/>
      <w:divBdr>
        <w:top w:val="none" w:sz="0" w:space="0" w:color="auto"/>
        <w:left w:val="none" w:sz="0" w:space="0" w:color="auto"/>
        <w:bottom w:val="none" w:sz="0" w:space="0" w:color="auto"/>
        <w:right w:val="none" w:sz="0" w:space="0" w:color="auto"/>
      </w:divBdr>
    </w:div>
    <w:div w:id="750783634">
      <w:bodyDiv w:val="1"/>
      <w:marLeft w:val="0"/>
      <w:marRight w:val="0"/>
      <w:marTop w:val="0"/>
      <w:marBottom w:val="0"/>
      <w:divBdr>
        <w:top w:val="none" w:sz="0" w:space="0" w:color="auto"/>
        <w:left w:val="none" w:sz="0" w:space="0" w:color="auto"/>
        <w:bottom w:val="none" w:sz="0" w:space="0" w:color="auto"/>
        <w:right w:val="none" w:sz="0" w:space="0" w:color="auto"/>
      </w:divBdr>
    </w:div>
    <w:div w:id="768965275">
      <w:bodyDiv w:val="1"/>
      <w:marLeft w:val="0"/>
      <w:marRight w:val="0"/>
      <w:marTop w:val="0"/>
      <w:marBottom w:val="0"/>
      <w:divBdr>
        <w:top w:val="none" w:sz="0" w:space="0" w:color="auto"/>
        <w:left w:val="none" w:sz="0" w:space="0" w:color="auto"/>
        <w:bottom w:val="none" w:sz="0" w:space="0" w:color="auto"/>
        <w:right w:val="none" w:sz="0" w:space="0" w:color="auto"/>
      </w:divBdr>
    </w:div>
    <w:div w:id="777024019">
      <w:bodyDiv w:val="1"/>
      <w:marLeft w:val="0"/>
      <w:marRight w:val="0"/>
      <w:marTop w:val="0"/>
      <w:marBottom w:val="0"/>
      <w:divBdr>
        <w:top w:val="none" w:sz="0" w:space="0" w:color="auto"/>
        <w:left w:val="none" w:sz="0" w:space="0" w:color="auto"/>
        <w:bottom w:val="none" w:sz="0" w:space="0" w:color="auto"/>
        <w:right w:val="none" w:sz="0" w:space="0" w:color="auto"/>
      </w:divBdr>
    </w:div>
    <w:div w:id="827986758">
      <w:bodyDiv w:val="1"/>
      <w:marLeft w:val="0"/>
      <w:marRight w:val="0"/>
      <w:marTop w:val="0"/>
      <w:marBottom w:val="0"/>
      <w:divBdr>
        <w:top w:val="none" w:sz="0" w:space="0" w:color="auto"/>
        <w:left w:val="none" w:sz="0" w:space="0" w:color="auto"/>
        <w:bottom w:val="none" w:sz="0" w:space="0" w:color="auto"/>
        <w:right w:val="none" w:sz="0" w:space="0" w:color="auto"/>
      </w:divBdr>
    </w:div>
    <w:div w:id="842478206">
      <w:bodyDiv w:val="1"/>
      <w:marLeft w:val="0"/>
      <w:marRight w:val="0"/>
      <w:marTop w:val="0"/>
      <w:marBottom w:val="0"/>
      <w:divBdr>
        <w:top w:val="none" w:sz="0" w:space="0" w:color="auto"/>
        <w:left w:val="none" w:sz="0" w:space="0" w:color="auto"/>
        <w:bottom w:val="none" w:sz="0" w:space="0" w:color="auto"/>
        <w:right w:val="none" w:sz="0" w:space="0" w:color="auto"/>
      </w:divBdr>
    </w:div>
    <w:div w:id="844901855">
      <w:bodyDiv w:val="1"/>
      <w:marLeft w:val="0"/>
      <w:marRight w:val="0"/>
      <w:marTop w:val="0"/>
      <w:marBottom w:val="0"/>
      <w:divBdr>
        <w:top w:val="none" w:sz="0" w:space="0" w:color="auto"/>
        <w:left w:val="none" w:sz="0" w:space="0" w:color="auto"/>
        <w:bottom w:val="none" w:sz="0" w:space="0" w:color="auto"/>
        <w:right w:val="none" w:sz="0" w:space="0" w:color="auto"/>
      </w:divBdr>
    </w:div>
    <w:div w:id="873151877">
      <w:bodyDiv w:val="1"/>
      <w:marLeft w:val="0"/>
      <w:marRight w:val="0"/>
      <w:marTop w:val="0"/>
      <w:marBottom w:val="0"/>
      <w:divBdr>
        <w:top w:val="none" w:sz="0" w:space="0" w:color="auto"/>
        <w:left w:val="none" w:sz="0" w:space="0" w:color="auto"/>
        <w:bottom w:val="none" w:sz="0" w:space="0" w:color="auto"/>
        <w:right w:val="none" w:sz="0" w:space="0" w:color="auto"/>
      </w:divBdr>
    </w:div>
    <w:div w:id="1014184971">
      <w:bodyDiv w:val="1"/>
      <w:marLeft w:val="0"/>
      <w:marRight w:val="0"/>
      <w:marTop w:val="0"/>
      <w:marBottom w:val="0"/>
      <w:divBdr>
        <w:top w:val="none" w:sz="0" w:space="0" w:color="auto"/>
        <w:left w:val="none" w:sz="0" w:space="0" w:color="auto"/>
        <w:bottom w:val="none" w:sz="0" w:space="0" w:color="auto"/>
        <w:right w:val="none" w:sz="0" w:space="0" w:color="auto"/>
      </w:divBdr>
    </w:div>
    <w:div w:id="1027564393">
      <w:bodyDiv w:val="1"/>
      <w:marLeft w:val="0"/>
      <w:marRight w:val="0"/>
      <w:marTop w:val="0"/>
      <w:marBottom w:val="0"/>
      <w:divBdr>
        <w:top w:val="none" w:sz="0" w:space="0" w:color="auto"/>
        <w:left w:val="none" w:sz="0" w:space="0" w:color="auto"/>
        <w:bottom w:val="none" w:sz="0" w:space="0" w:color="auto"/>
        <w:right w:val="none" w:sz="0" w:space="0" w:color="auto"/>
      </w:divBdr>
    </w:div>
    <w:div w:id="1049845095">
      <w:bodyDiv w:val="1"/>
      <w:marLeft w:val="0"/>
      <w:marRight w:val="0"/>
      <w:marTop w:val="0"/>
      <w:marBottom w:val="0"/>
      <w:divBdr>
        <w:top w:val="none" w:sz="0" w:space="0" w:color="auto"/>
        <w:left w:val="none" w:sz="0" w:space="0" w:color="auto"/>
        <w:bottom w:val="none" w:sz="0" w:space="0" w:color="auto"/>
        <w:right w:val="none" w:sz="0" w:space="0" w:color="auto"/>
      </w:divBdr>
    </w:div>
    <w:div w:id="1050612934">
      <w:bodyDiv w:val="1"/>
      <w:marLeft w:val="0"/>
      <w:marRight w:val="0"/>
      <w:marTop w:val="0"/>
      <w:marBottom w:val="0"/>
      <w:divBdr>
        <w:top w:val="none" w:sz="0" w:space="0" w:color="auto"/>
        <w:left w:val="none" w:sz="0" w:space="0" w:color="auto"/>
        <w:bottom w:val="none" w:sz="0" w:space="0" w:color="auto"/>
        <w:right w:val="none" w:sz="0" w:space="0" w:color="auto"/>
      </w:divBdr>
    </w:div>
    <w:div w:id="1073746898">
      <w:bodyDiv w:val="1"/>
      <w:marLeft w:val="0"/>
      <w:marRight w:val="0"/>
      <w:marTop w:val="0"/>
      <w:marBottom w:val="0"/>
      <w:divBdr>
        <w:top w:val="none" w:sz="0" w:space="0" w:color="auto"/>
        <w:left w:val="none" w:sz="0" w:space="0" w:color="auto"/>
        <w:bottom w:val="none" w:sz="0" w:space="0" w:color="auto"/>
        <w:right w:val="none" w:sz="0" w:space="0" w:color="auto"/>
      </w:divBdr>
    </w:div>
    <w:div w:id="1101224425">
      <w:bodyDiv w:val="1"/>
      <w:marLeft w:val="0"/>
      <w:marRight w:val="0"/>
      <w:marTop w:val="0"/>
      <w:marBottom w:val="0"/>
      <w:divBdr>
        <w:top w:val="none" w:sz="0" w:space="0" w:color="auto"/>
        <w:left w:val="none" w:sz="0" w:space="0" w:color="auto"/>
        <w:bottom w:val="none" w:sz="0" w:space="0" w:color="auto"/>
        <w:right w:val="none" w:sz="0" w:space="0" w:color="auto"/>
      </w:divBdr>
    </w:div>
    <w:div w:id="1122649951">
      <w:bodyDiv w:val="1"/>
      <w:marLeft w:val="0"/>
      <w:marRight w:val="0"/>
      <w:marTop w:val="0"/>
      <w:marBottom w:val="0"/>
      <w:divBdr>
        <w:top w:val="none" w:sz="0" w:space="0" w:color="auto"/>
        <w:left w:val="none" w:sz="0" w:space="0" w:color="auto"/>
        <w:bottom w:val="none" w:sz="0" w:space="0" w:color="auto"/>
        <w:right w:val="none" w:sz="0" w:space="0" w:color="auto"/>
      </w:divBdr>
    </w:div>
    <w:div w:id="1155562281">
      <w:bodyDiv w:val="1"/>
      <w:marLeft w:val="0"/>
      <w:marRight w:val="0"/>
      <w:marTop w:val="0"/>
      <w:marBottom w:val="0"/>
      <w:divBdr>
        <w:top w:val="none" w:sz="0" w:space="0" w:color="auto"/>
        <w:left w:val="none" w:sz="0" w:space="0" w:color="auto"/>
        <w:bottom w:val="none" w:sz="0" w:space="0" w:color="auto"/>
        <w:right w:val="none" w:sz="0" w:space="0" w:color="auto"/>
      </w:divBdr>
    </w:div>
    <w:div w:id="1166631633">
      <w:bodyDiv w:val="1"/>
      <w:marLeft w:val="0"/>
      <w:marRight w:val="0"/>
      <w:marTop w:val="0"/>
      <w:marBottom w:val="0"/>
      <w:divBdr>
        <w:top w:val="none" w:sz="0" w:space="0" w:color="auto"/>
        <w:left w:val="none" w:sz="0" w:space="0" w:color="auto"/>
        <w:bottom w:val="none" w:sz="0" w:space="0" w:color="auto"/>
        <w:right w:val="none" w:sz="0" w:space="0" w:color="auto"/>
      </w:divBdr>
      <w:divsChild>
        <w:div w:id="887954885">
          <w:marLeft w:val="480"/>
          <w:marRight w:val="0"/>
          <w:marTop w:val="0"/>
          <w:marBottom w:val="0"/>
          <w:divBdr>
            <w:top w:val="none" w:sz="0" w:space="0" w:color="auto"/>
            <w:left w:val="none" w:sz="0" w:space="0" w:color="auto"/>
            <w:bottom w:val="none" w:sz="0" w:space="0" w:color="auto"/>
            <w:right w:val="none" w:sz="0" w:space="0" w:color="auto"/>
          </w:divBdr>
        </w:div>
        <w:div w:id="388922788">
          <w:marLeft w:val="480"/>
          <w:marRight w:val="0"/>
          <w:marTop w:val="0"/>
          <w:marBottom w:val="0"/>
          <w:divBdr>
            <w:top w:val="none" w:sz="0" w:space="0" w:color="auto"/>
            <w:left w:val="none" w:sz="0" w:space="0" w:color="auto"/>
            <w:bottom w:val="none" w:sz="0" w:space="0" w:color="auto"/>
            <w:right w:val="none" w:sz="0" w:space="0" w:color="auto"/>
          </w:divBdr>
        </w:div>
        <w:div w:id="390932954">
          <w:marLeft w:val="480"/>
          <w:marRight w:val="0"/>
          <w:marTop w:val="0"/>
          <w:marBottom w:val="0"/>
          <w:divBdr>
            <w:top w:val="none" w:sz="0" w:space="0" w:color="auto"/>
            <w:left w:val="none" w:sz="0" w:space="0" w:color="auto"/>
            <w:bottom w:val="none" w:sz="0" w:space="0" w:color="auto"/>
            <w:right w:val="none" w:sz="0" w:space="0" w:color="auto"/>
          </w:divBdr>
        </w:div>
        <w:div w:id="542059155">
          <w:marLeft w:val="480"/>
          <w:marRight w:val="0"/>
          <w:marTop w:val="0"/>
          <w:marBottom w:val="0"/>
          <w:divBdr>
            <w:top w:val="none" w:sz="0" w:space="0" w:color="auto"/>
            <w:left w:val="none" w:sz="0" w:space="0" w:color="auto"/>
            <w:bottom w:val="none" w:sz="0" w:space="0" w:color="auto"/>
            <w:right w:val="none" w:sz="0" w:space="0" w:color="auto"/>
          </w:divBdr>
        </w:div>
        <w:div w:id="1304237094">
          <w:marLeft w:val="480"/>
          <w:marRight w:val="0"/>
          <w:marTop w:val="0"/>
          <w:marBottom w:val="0"/>
          <w:divBdr>
            <w:top w:val="none" w:sz="0" w:space="0" w:color="auto"/>
            <w:left w:val="none" w:sz="0" w:space="0" w:color="auto"/>
            <w:bottom w:val="none" w:sz="0" w:space="0" w:color="auto"/>
            <w:right w:val="none" w:sz="0" w:space="0" w:color="auto"/>
          </w:divBdr>
        </w:div>
        <w:div w:id="351226081">
          <w:marLeft w:val="480"/>
          <w:marRight w:val="0"/>
          <w:marTop w:val="0"/>
          <w:marBottom w:val="0"/>
          <w:divBdr>
            <w:top w:val="none" w:sz="0" w:space="0" w:color="auto"/>
            <w:left w:val="none" w:sz="0" w:space="0" w:color="auto"/>
            <w:bottom w:val="none" w:sz="0" w:space="0" w:color="auto"/>
            <w:right w:val="none" w:sz="0" w:space="0" w:color="auto"/>
          </w:divBdr>
        </w:div>
        <w:div w:id="24411976">
          <w:marLeft w:val="480"/>
          <w:marRight w:val="0"/>
          <w:marTop w:val="0"/>
          <w:marBottom w:val="0"/>
          <w:divBdr>
            <w:top w:val="none" w:sz="0" w:space="0" w:color="auto"/>
            <w:left w:val="none" w:sz="0" w:space="0" w:color="auto"/>
            <w:bottom w:val="none" w:sz="0" w:space="0" w:color="auto"/>
            <w:right w:val="none" w:sz="0" w:space="0" w:color="auto"/>
          </w:divBdr>
        </w:div>
        <w:div w:id="633945238">
          <w:marLeft w:val="480"/>
          <w:marRight w:val="0"/>
          <w:marTop w:val="0"/>
          <w:marBottom w:val="0"/>
          <w:divBdr>
            <w:top w:val="none" w:sz="0" w:space="0" w:color="auto"/>
            <w:left w:val="none" w:sz="0" w:space="0" w:color="auto"/>
            <w:bottom w:val="none" w:sz="0" w:space="0" w:color="auto"/>
            <w:right w:val="none" w:sz="0" w:space="0" w:color="auto"/>
          </w:divBdr>
        </w:div>
        <w:div w:id="1480927760">
          <w:marLeft w:val="480"/>
          <w:marRight w:val="0"/>
          <w:marTop w:val="0"/>
          <w:marBottom w:val="0"/>
          <w:divBdr>
            <w:top w:val="none" w:sz="0" w:space="0" w:color="auto"/>
            <w:left w:val="none" w:sz="0" w:space="0" w:color="auto"/>
            <w:bottom w:val="none" w:sz="0" w:space="0" w:color="auto"/>
            <w:right w:val="none" w:sz="0" w:space="0" w:color="auto"/>
          </w:divBdr>
        </w:div>
        <w:div w:id="1040517290">
          <w:marLeft w:val="480"/>
          <w:marRight w:val="0"/>
          <w:marTop w:val="0"/>
          <w:marBottom w:val="0"/>
          <w:divBdr>
            <w:top w:val="none" w:sz="0" w:space="0" w:color="auto"/>
            <w:left w:val="none" w:sz="0" w:space="0" w:color="auto"/>
            <w:bottom w:val="none" w:sz="0" w:space="0" w:color="auto"/>
            <w:right w:val="none" w:sz="0" w:space="0" w:color="auto"/>
          </w:divBdr>
        </w:div>
        <w:div w:id="1728071036">
          <w:marLeft w:val="480"/>
          <w:marRight w:val="0"/>
          <w:marTop w:val="0"/>
          <w:marBottom w:val="0"/>
          <w:divBdr>
            <w:top w:val="none" w:sz="0" w:space="0" w:color="auto"/>
            <w:left w:val="none" w:sz="0" w:space="0" w:color="auto"/>
            <w:bottom w:val="none" w:sz="0" w:space="0" w:color="auto"/>
            <w:right w:val="none" w:sz="0" w:space="0" w:color="auto"/>
          </w:divBdr>
        </w:div>
      </w:divsChild>
    </w:div>
    <w:div w:id="1170219965">
      <w:bodyDiv w:val="1"/>
      <w:marLeft w:val="0"/>
      <w:marRight w:val="0"/>
      <w:marTop w:val="0"/>
      <w:marBottom w:val="0"/>
      <w:divBdr>
        <w:top w:val="none" w:sz="0" w:space="0" w:color="auto"/>
        <w:left w:val="none" w:sz="0" w:space="0" w:color="auto"/>
        <w:bottom w:val="none" w:sz="0" w:space="0" w:color="auto"/>
        <w:right w:val="none" w:sz="0" w:space="0" w:color="auto"/>
      </w:divBdr>
    </w:div>
    <w:div w:id="1349793163">
      <w:bodyDiv w:val="1"/>
      <w:marLeft w:val="0"/>
      <w:marRight w:val="0"/>
      <w:marTop w:val="0"/>
      <w:marBottom w:val="0"/>
      <w:divBdr>
        <w:top w:val="none" w:sz="0" w:space="0" w:color="auto"/>
        <w:left w:val="none" w:sz="0" w:space="0" w:color="auto"/>
        <w:bottom w:val="none" w:sz="0" w:space="0" w:color="auto"/>
        <w:right w:val="none" w:sz="0" w:space="0" w:color="auto"/>
      </w:divBdr>
    </w:div>
    <w:div w:id="1414861349">
      <w:bodyDiv w:val="1"/>
      <w:marLeft w:val="0"/>
      <w:marRight w:val="0"/>
      <w:marTop w:val="0"/>
      <w:marBottom w:val="0"/>
      <w:divBdr>
        <w:top w:val="none" w:sz="0" w:space="0" w:color="auto"/>
        <w:left w:val="none" w:sz="0" w:space="0" w:color="auto"/>
        <w:bottom w:val="none" w:sz="0" w:space="0" w:color="auto"/>
        <w:right w:val="none" w:sz="0" w:space="0" w:color="auto"/>
      </w:divBdr>
    </w:div>
    <w:div w:id="1509321543">
      <w:bodyDiv w:val="1"/>
      <w:marLeft w:val="0"/>
      <w:marRight w:val="0"/>
      <w:marTop w:val="0"/>
      <w:marBottom w:val="0"/>
      <w:divBdr>
        <w:top w:val="none" w:sz="0" w:space="0" w:color="auto"/>
        <w:left w:val="none" w:sz="0" w:space="0" w:color="auto"/>
        <w:bottom w:val="none" w:sz="0" w:space="0" w:color="auto"/>
        <w:right w:val="none" w:sz="0" w:space="0" w:color="auto"/>
      </w:divBdr>
    </w:div>
    <w:div w:id="1517307921">
      <w:bodyDiv w:val="1"/>
      <w:marLeft w:val="0"/>
      <w:marRight w:val="0"/>
      <w:marTop w:val="0"/>
      <w:marBottom w:val="0"/>
      <w:divBdr>
        <w:top w:val="none" w:sz="0" w:space="0" w:color="auto"/>
        <w:left w:val="none" w:sz="0" w:space="0" w:color="auto"/>
        <w:bottom w:val="none" w:sz="0" w:space="0" w:color="auto"/>
        <w:right w:val="none" w:sz="0" w:space="0" w:color="auto"/>
      </w:divBdr>
    </w:div>
    <w:div w:id="1555189949">
      <w:bodyDiv w:val="1"/>
      <w:marLeft w:val="0"/>
      <w:marRight w:val="0"/>
      <w:marTop w:val="0"/>
      <w:marBottom w:val="0"/>
      <w:divBdr>
        <w:top w:val="none" w:sz="0" w:space="0" w:color="auto"/>
        <w:left w:val="none" w:sz="0" w:space="0" w:color="auto"/>
        <w:bottom w:val="none" w:sz="0" w:space="0" w:color="auto"/>
        <w:right w:val="none" w:sz="0" w:space="0" w:color="auto"/>
      </w:divBdr>
    </w:div>
    <w:div w:id="1574924610">
      <w:bodyDiv w:val="1"/>
      <w:marLeft w:val="0"/>
      <w:marRight w:val="0"/>
      <w:marTop w:val="0"/>
      <w:marBottom w:val="0"/>
      <w:divBdr>
        <w:top w:val="none" w:sz="0" w:space="0" w:color="auto"/>
        <w:left w:val="none" w:sz="0" w:space="0" w:color="auto"/>
        <w:bottom w:val="none" w:sz="0" w:space="0" w:color="auto"/>
        <w:right w:val="none" w:sz="0" w:space="0" w:color="auto"/>
      </w:divBdr>
    </w:div>
    <w:div w:id="1605844595">
      <w:bodyDiv w:val="1"/>
      <w:marLeft w:val="0"/>
      <w:marRight w:val="0"/>
      <w:marTop w:val="0"/>
      <w:marBottom w:val="0"/>
      <w:divBdr>
        <w:top w:val="none" w:sz="0" w:space="0" w:color="auto"/>
        <w:left w:val="none" w:sz="0" w:space="0" w:color="auto"/>
        <w:bottom w:val="none" w:sz="0" w:space="0" w:color="auto"/>
        <w:right w:val="none" w:sz="0" w:space="0" w:color="auto"/>
      </w:divBdr>
    </w:div>
    <w:div w:id="1650549704">
      <w:bodyDiv w:val="1"/>
      <w:marLeft w:val="0"/>
      <w:marRight w:val="0"/>
      <w:marTop w:val="0"/>
      <w:marBottom w:val="0"/>
      <w:divBdr>
        <w:top w:val="none" w:sz="0" w:space="0" w:color="auto"/>
        <w:left w:val="none" w:sz="0" w:space="0" w:color="auto"/>
        <w:bottom w:val="none" w:sz="0" w:space="0" w:color="auto"/>
        <w:right w:val="none" w:sz="0" w:space="0" w:color="auto"/>
      </w:divBdr>
    </w:div>
    <w:div w:id="1701782291">
      <w:bodyDiv w:val="1"/>
      <w:marLeft w:val="0"/>
      <w:marRight w:val="0"/>
      <w:marTop w:val="0"/>
      <w:marBottom w:val="0"/>
      <w:divBdr>
        <w:top w:val="none" w:sz="0" w:space="0" w:color="auto"/>
        <w:left w:val="none" w:sz="0" w:space="0" w:color="auto"/>
        <w:bottom w:val="none" w:sz="0" w:space="0" w:color="auto"/>
        <w:right w:val="none" w:sz="0" w:space="0" w:color="auto"/>
      </w:divBdr>
    </w:div>
    <w:div w:id="1709186871">
      <w:bodyDiv w:val="1"/>
      <w:marLeft w:val="0"/>
      <w:marRight w:val="0"/>
      <w:marTop w:val="0"/>
      <w:marBottom w:val="0"/>
      <w:divBdr>
        <w:top w:val="none" w:sz="0" w:space="0" w:color="auto"/>
        <w:left w:val="none" w:sz="0" w:space="0" w:color="auto"/>
        <w:bottom w:val="none" w:sz="0" w:space="0" w:color="auto"/>
        <w:right w:val="none" w:sz="0" w:space="0" w:color="auto"/>
      </w:divBdr>
    </w:div>
    <w:div w:id="1845048302">
      <w:bodyDiv w:val="1"/>
      <w:marLeft w:val="0"/>
      <w:marRight w:val="0"/>
      <w:marTop w:val="0"/>
      <w:marBottom w:val="0"/>
      <w:divBdr>
        <w:top w:val="none" w:sz="0" w:space="0" w:color="auto"/>
        <w:left w:val="none" w:sz="0" w:space="0" w:color="auto"/>
        <w:bottom w:val="none" w:sz="0" w:space="0" w:color="auto"/>
        <w:right w:val="none" w:sz="0" w:space="0" w:color="auto"/>
      </w:divBdr>
    </w:div>
    <w:div w:id="2017345388">
      <w:bodyDiv w:val="1"/>
      <w:marLeft w:val="0"/>
      <w:marRight w:val="0"/>
      <w:marTop w:val="0"/>
      <w:marBottom w:val="0"/>
      <w:divBdr>
        <w:top w:val="none" w:sz="0" w:space="0" w:color="auto"/>
        <w:left w:val="none" w:sz="0" w:space="0" w:color="auto"/>
        <w:bottom w:val="none" w:sz="0" w:space="0" w:color="auto"/>
        <w:right w:val="none" w:sz="0" w:space="0" w:color="auto"/>
      </w:divBdr>
    </w:div>
    <w:div w:id="2041201561">
      <w:bodyDiv w:val="1"/>
      <w:marLeft w:val="0"/>
      <w:marRight w:val="0"/>
      <w:marTop w:val="0"/>
      <w:marBottom w:val="0"/>
      <w:divBdr>
        <w:top w:val="none" w:sz="0" w:space="0" w:color="auto"/>
        <w:left w:val="none" w:sz="0" w:space="0" w:color="auto"/>
        <w:bottom w:val="none" w:sz="0" w:space="0" w:color="auto"/>
        <w:right w:val="none" w:sz="0" w:space="0" w:color="auto"/>
      </w:divBdr>
    </w:div>
    <w:div w:id="2119131298">
      <w:bodyDiv w:val="1"/>
      <w:marLeft w:val="0"/>
      <w:marRight w:val="0"/>
      <w:marTop w:val="0"/>
      <w:marBottom w:val="0"/>
      <w:divBdr>
        <w:top w:val="none" w:sz="0" w:space="0" w:color="auto"/>
        <w:left w:val="none" w:sz="0" w:space="0" w:color="auto"/>
        <w:bottom w:val="none" w:sz="0" w:space="0" w:color="auto"/>
        <w:right w:val="none" w:sz="0" w:space="0" w:color="auto"/>
      </w:divBdr>
    </w:div>
    <w:div w:id="213524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6FAA692-7204-4E29-B352-E0C761133580}"/>
      </w:docPartPr>
      <w:docPartBody>
        <w:p w:rsidR="00B37EC2" w:rsidRDefault="00AA5C9C">
          <w:r w:rsidRPr="00D46E4A">
            <w:rPr>
              <w:rStyle w:val="PlaceholderText"/>
            </w:rPr>
            <w:t>Click or tap here to enter text.</w:t>
          </w:r>
        </w:p>
      </w:docPartBody>
    </w:docPart>
    <w:docPart>
      <w:docPartPr>
        <w:name w:val="80D725287ED8449D92F060F93587AF07"/>
        <w:category>
          <w:name w:val="General"/>
          <w:gallery w:val="placeholder"/>
        </w:category>
        <w:types>
          <w:type w:val="bbPlcHdr"/>
        </w:types>
        <w:behaviors>
          <w:behavior w:val="content"/>
        </w:behaviors>
        <w:guid w:val="{5304E79B-C5F3-460A-9890-2824015BA430}"/>
      </w:docPartPr>
      <w:docPartBody>
        <w:p w:rsidR="00000000" w:rsidRDefault="00B37EC2" w:rsidP="00B37EC2">
          <w:pPr>
            <w:pStyle w:val="80D725287ED8449D92F060F93587AF07"/>
          </w:pPr>
          <w:r w:rsidRPr="00D46E4A">
            <w:rPr>
              <w:rStyle w:val="PlaceholderText"/>
            </w:rPr>
            <w:t>Click or tap here to enter text.</w:t>
          </w:r>
        </w:p>
      </w:docPartBody>
    </w:docPart>
    <w:docPart>
      <w:docPartPr>
        <w:name w:val="A8643C563E4E4360B3B79A690A3F86C1"/>
        <w:category>
          <w:name w:val="General"/>
          <w:gallery w:val="placeholder"/>
        </w:category>
        <w:types>
          <w:type w:val="bbPlcHdr"/>
        </w:types>
        <w:behaviors>
          <w:behavior w:val="content"/>
        </w:behaviors>
        <w:guid w:val="{72ACF731-FE74-4DCF-88B5-381DA8355A41}"/>
      </w:docPartPr>
      <w:docPartBody>
        <w:p w:rsidR="00000000" w:rsidRDefault="00B37EC2" w:rsidP="00B37EC2">
          <w:pPr>
            <w:pStyle w:val="A8643C563E4E4360B3B79A690A3F86C1"/>
          </w:pPr>
          <w:r w:rsidRPr="00E228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9C"/>
    <w:rsid w:val="00033F3D"/>
    <w:rsid w:val="007530B9"/>
    <w:rsid w:val="00AA5C9C"/>
    <w:rsid w:val="00B37EC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EC2"/>
    <w:rPr>
      <w:color w:val="808080"/>
    </w:rPr>
  </w:style>
  <w:style w:type="paragraph" w:customStyle="1" w:styleId="80D725287ED8449D92F060F93587AF07">
    <w:name w:val="80D725287ED8449D92F060F93587AF07"/>
    <w:rsid w:val="00B37EC2"/>
  </w:style>
  <w:style w:type="paragraph" w:customStyle="1" w:styleId="417897BB69D5442A84E5026F47F6B29D">
    <w:name w:val="417897BB69D5442A84E5026F47F6B29D"/>
    <w:rsid w:val="00B37EC2"/>
  </w:style>
  <w:style w:type="paragraph" w:customStyle="1" w:styleId="A8643C563E4E4360B3B79A690A3F86C1">
    <w:name w:val="A8643C563E4E4360B3B79A690A3F86C1"/>
    <w:rsid w:val="00B37E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6FC0786-43C2-472C-9F8D-2D7FE5E2E466}">
  <we:reference id="wa104382081" version="1.55.1.0" store="en-US" storeType="OMEX"/>
  <we:alternateReferences>
    <we:reference id="wa104382081" version="1.55.1.0" store="" storeType="OMEX"/>
  </we:alternateReferences>
  <we:properties>
    <we:property name="MENDELEY_CITATIONS_STYLE" value="{&quot;id&quot;:&quot;https://www.zotero.org/styles/apa&quot;,&quot;title&quot;:&quot;American Psychological Association 7th edition&quot;,&quot;format&quot;:&quot;author-date&quot;,&quot;defaultLocale&quot;:null,&quot;isLocaleCodeValid&quot;:true}"/>
    <we:property name="MENDELEY_CITATIONS" value="[{&quot;citationID&quot;:&quot;MENDELEY_CITATION_23df82f6-428a-407e-be1b-0be07f09f941&quot;,&quot;properties&quot;:{&quot;noteIndex&quot;:0},&quot;isEdited&quot;:false,&quot;manualOverride&quot;:{&quot;isManuallyOverridden&quot;:false,&quot;citeprocText&quot;:&quot;(Soetridai, 2008)&quot;,&quot;manualOverrideText&quot;:&quot;&quot;},&quot;citationTag&quot;:&quot;MENDELEY_CITATION_v3_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&quot;,&quot;citationItems&quot;:[{&quot;id&quot;:&quot;5f712857-bc6c-31b0-b8fe-928228db328b&quot;,&quot;itemData&quot;:{&quot;type&quot;:&quot;thesis&quot;,&quot;id&quot;:&quot;5f712857-bc6c-31b0-b8fe-928228db328b&quot;,&quot;title&quot;:&quot;KEBIJAKAN PENANGGULANGAN TINDAK PIDANA TERORISME DENGAN HUKUM PIDANA&quot;,&quot;author&quot;:[{&quot;family&quot;:&quot;Soetridai&quot;,&quot;given&quot;:&quot;Ewit&quot;,&quot;parse-names&quot;:false,&quot;dropping-particle&quot;:&quot;&quot;,&quot;non-dropping-particle&quot;:&quot;&quot;}],&quot;issued&quot;:{&quot;date-parts&quot;:[[2008]]},&quot;publisher-place&quot;:&quot;Semarang&quot;,&quot;genre&quot;:&quot;Tesis&quot;,&quot;publisher&quot;:&quot;Universitas Dipenogoro&quot;,&quot;container-title-short&quot;:&quot;&quot;},&quot;isTemporary&quot;:false}]},{&quot;citationID&quot;:&quot;MENDELEY_CITATION_2094c088-1f04-4a22-8d78-ffa151936a03&quot;,&quot;properties&quot;:{&quot;noteIndex&quot;:0},&quot;isEdited&quot;:false,&quot;manualOverride&quot;:{&quot;isManuallyOverridden&quot;:false,&quot;citeprocText&quot;:&quot;(Putra &amp;#38; Lukitasari, 2019)&quot;,&quot;manualOverrideText&quot;:&quot;&quot;},&quot;citationTag&quot;:&quot;MENDELEY_CITATION_v3_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&quot;,&quot;citationItems&quot;:[{&quot;id&quot;:&quot;d25c120d-95e3-3fe6-b344-8fbea47b3c6c&quot;,&quot;itemData&quot;:{&quot;type&quot;:&quot;article-journal&quot;,&quot;id&quot;:&quot;d25c120d-95e3-3fe6-b344-8fbea47b3c6c&quot;,&quot;title&quot;:&quot;PERBANDINGAN PENGATURAN TINDAK PIDANA TERORISME DI INDONESIA DAN MALAYSIA&quot;,&quot;author&quot;:[{&quot;family&quot;:&quot;Putra&quot;,&quot;given&quot;:&quot;Aditya&quot;,&quot;parse-names&quot;:false,&quot;dropping-particle&quot;:&quot;&quot;,&quot;non-dropping-particle&quot;:&quot;&quot;},{&quot;family&quot;:&quot;Lukitasari&quot;,&quot;given&quot;:&quot;Diana&quot;,&quot;parse-names&quot;:false,&quot;dropping-particle&quot;:&quot;&quot;,&quot;non-dropping-particle&quot;:&quot;&quot;}],&quot;container-title&quot;:&quot;Recidive&quot;,&quot;URL&quot;:&quot;http://www.viva.co.id/berita/nasional/598028-950-orang-terlibat-&quot;,&quot;issued&quot;:{&quot;date-parts&quot;:[[2019]]},&quot;issue&quot;:&quot;1&quot;,&quot;volume&quot;:&quot;8&quot;,&quot;container-title-short&quot;:&quot;&quot;},&quot;isTemporary&quot;:false}]},{&quot;citationID&quot;:&quot;MENDELEY_CITATION_03de0f4b-6455-488d-a0cc-db9035e2a6d0&quot;,&quot;properties&quot;:{&quot;noteIndex&quot;:0},&quot;isEdited&quot;:false,&quot;manualOverride&quot;:{&quot;isManuallyOverridden&quot;:false,&quot;citeprocText&quot;:&quot;(Firmansyah, 2011)&quot;,&quot;manualOverrideText&quot;:&quot;&quot;},&quot;citationTag&quot;:&quot;MENDELEY_CITATION_v3_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&quot;,&quot;citationItems&quot;:[{&quot;id&quot;:&quot;0bac8165-26f7-36a1-a0e0-b6a7a4440387&quot;,&quot;itemData&quot;:{&quot;type&quot;:&quot;article-journal&quot;,&quot;id&quot;:&quot;0bac8165-26f7-36a1-a0e0-b6a7a4440387&quot;,&quot;title&quot;:&quot;UPAYA PENANGGULANGAN TINDAK PIDANA TERORISME DI INDONESIA&quot;,&quot;author&quot;:[{&quot;family&quot;:&quot;Firmansyah&quot;,&quot;given&quot;:&quot;Hery&quot;,&quot;parse-names&quot;:false,&quot;dropping-particle&quot;:&quot;&quot;,&quot;non-dropping-particle&quot;:&quot;&quot;}],&quot;container-title&quot;:&quot;MIMBAR HUKUM&quot;,&quot;issued&quot;:{&quot;date-parts&quot;:[[2011]]},&quot;page&quot;:&quot;237-429&quot;,&quot;abstract&quot;:&quot;Abstrak Terrorism has become the most serious issue in Indonesia after terrorist attacks in Bali, November 2002. With the current condition where Indonesia still faces a key risk of new militant attacks with new cells and more bomb experts, this paper aims to analyse the way Indonesian government fight against terrorism.&quot;,&quot;volume&quot;:&quot;23&quot;,&quot;container-title-short&quot;:&quot;&quot;},&quot;isTemporary&quot;:false}]},{&quot;citationID&quot;:&quot;MENDELEY_CITATION_6f22faba-f845-4290-be9c-54e805d99b67&quot;,&quot;properties&quot;:{&quot;noteIndex&quot;:0},&quot;isEdited&quot;:false,&quot;manualOverride&quot;:{&quot;isManuallyOverridden&quot;:false,&quot;citeprocText&quot;:&quot;(Adesta &amp;#38; Priyanto, 2022)&quot;,&quot;manualOverrideText&quot;:&quot;&quot;},&quot;citationTag&quot;:&quot;MENDELEY_CITATION_v3_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&quot;,&quot;citationItems&quot;:[{&quot;id&quot;:&quot;8d740bf1-8bff-3e98-8027-1769aad345fe&quot;,&quot;itemData&quot;:{&quot;type&quot;:&quot;article-journal&quot;,&quot;id&quot;:&quot;8d740bf1-8bff-3e98-8027-1769aad345fe&quot;,&quot;title&quot;:&quot;HAK ASASI MANUSIA TERSANGKA TINDAK PIDANA TERORISME: STUDI PERBANDINGAN ANTARA INDONESIA DAN MALAYSIA&quot;,&quot;author&quot;:[{&quot;family&quot;:&quot;Adesta&quot;,&quot;given&quot;:&quot;Fayez Ghazi Mutasim&quot;,&quot;parse-names&quot;:false,&quot;dropping-particle&quot;:&quot;&quot;,&quot;non-dropping-particle&quot;:&quot;&quot;},{&quot;family&quot;:&quot;Priyanto&quot;,&quot;given&quot;:&quot;Sapto&quot;,&quot;parse-names&quot;:false,&quot;dropping-particle&quot;:&quot;&quot;,&quot;non-dropping-particle&quot;:&quot;&quot;}],&quot;container-title&quot;:&quot;Journal of Terrorism Studies&quot;,&quot;DOI&quot;:&quot;10.7454/jts.v4i1.1046&quot;,&quot;ISSN&quot;:&quot;26569965&quot;,&quot;issued&quot;:{&quot;date-parts&quot;:[[2022,5,30]]},&quot;abstract&quot;:&quot;… Seringkali, jikalau HAM dikorbankan atas nama keamanan, kemungkinan terjadinya pembunuhan massal atau genosida meningkat jadi lebih tinggi. Bahkan, secara statistik, terbukti …&quot;,&quot;publisher&quot;:&quot;Universitas Indonesia, Directorate of Research and Public Service&quot;,&quot;issue&quot;:&quot;1&quot;,&quot;volume&quot;:&quot;4&quot;,&quot;container-title-short&quot;:&quot;&quot;},&quot;isTemporary&quot;:false}]},{&quot;citationID&quot;:&quot;MENDELEY_CITATION_9260ff29-6432-456e-98b9-f99e063eb282&quot;,&quot;properties&quot;:{&quot;noteIndex&quot;:0},&quot;isEdited&quot;:false,&quot;manualOverride&quot;:{&quot;isManuallyOverridden&quot;:false,&quot;citeprocText&quot;:&quot;(Anakotta, 2020)&quot;,&quot;manualOverrideText&quot;:&quot;&quot;},&quot;citationTag&quot;:&quot;MENDELEY_CITATION_v3_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&quot;,&quot;citationItems&quot;:[{&quot;id&quot;:&quot;16904f91-89b1-38cd-9a30-608096865a33&quot;,&quot;itemData&quot;:{&quot;type&quot;:&quot;article-journal&quot;,&quot;id&quot;:&quot;16904f91-89b1-38cd-9a30-608096865a33&quot;,&quot;title&quot;:&quot;KEBIJAKAN SISTEM PENEGAKAN HUKUM TERHADAP PENANGGULANGAN TINDAK PIDANA TERORISME MELALUI PENDEKATAN INTEGRAL&quot;,&quot;author&quot;:[{&quot;family&quot;:&quot;Anakotta&quot;,&quot;given&quot;:&quot;Marthisan Y&quot;,&quot;parse-names&quot;:false,&quot;dropping-particle&quot;:&quot;&quot;,&quot;non-dropping-particle&quot;:&quot;&quot;}],&quot;container-title&quot;:&quot;Jurnal Belo&quot;,&quot;ISSN&quot;:&quot;2460-6820&quot;,&quot;issued&quot;:{&quot;date-parts&quot;:[[2020]]},&quot;volume&quot;:&quot;5&quot;,&quot;container-title-short&quot;:&quot;&quot;},&quot;isTemporary&quot;:false}]},{&quot;citationID&quot;:&quot;MENDELEY_CITATION_9f48f382-da71-44f4-a140-6f600d74ffa7&quot;,&quot;properties&quot;:{&quot;noteIndex&quot;:0},&quot;isEdited&quot;:false,&quot;manualOverride&quot;:{&quot;isManuallyOverridden&quot;:false,&quot;citeprocText&quot;:&quot;(Rachma, 2020)&quot;,&quot;manualOverrideText&quot;:&quot;&quot;},&quot;citationTag&quot;:&quot;MENDELEY_CITATION_v3_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&quot;,&quot;citationItems&quot;:[{&quot;id&quot;:&quot;5b021340-5ffb-325f-b574-80f2bf62e7d9&quot;,&quot;itemData&quot;:{&quot;type&quot;:&quot;article-journal&quot;,&quot;id&quot;:&quot;5b021340-5ffb-325f-b574-80f2bf62e7d9&quot;,&quot;title&quot;:&quot;Perbandingan Hukum Terhadap Tindak Pidana Terorisme di Indonesia dan\nFilipina&quot;,&quot;author&quot;:[{&quot;family&quot;:&quot;Rachma&quot;,&quot;given&quot;:&quot;Alfianti Dwi&quot;,&quot;parse-names&quot;:false,&quot;dropping-particle&quot;:&quot;&quot;,&quot;non-dropping-particle&quot;:&quot;&quot;}],&quot;container-title&quot;:&quot;Jurnal Pembaru Hukum&quot;,&quot;DOI&quot;:&quot;10.24905/diktum.v8i1.89&quot;,&quot;ISSN&quot;:&quot;2655-3449&quot;,&quot;issued&quot;:{&quot;date-parts&quot;:[[2020,5,27]]},&quot;abstract&quot;:&quot;Penelitian ini bertujuan menjelaskan pengaturan hukum mengenai tindak pidana terorisme baik di\nIndonesia dan Filipina. Selain itu penelitian juga berusaha mengkaji perbedaan dan persamaan\npengaturan sanksi terkait dengan tindak pidana terorisme di Indonesia dan Filipina. Terorisme\nmerupakan musuh utama negara berkembang dalam menjaga setabilitas keamanan dan kedaulatan\nsebuah negara. Perkembangan terorisme di Filipina hampir sama dengan perkembangan terorisme di\nIndonesia, walaupun Indonesia dan Filipina berbeda dari segi suku, ras dan agama. Jenis penelitian\nini adalah penelitian kepustakaan dengan pendekatan normatif. Teknik pengumpulan datanya melalui\nstudi kepustakaan, dianalisa dengan metode kualitatif. Hasil penelitian ini menunjukan bahwa\npemidanaan terorisme di Filipina sudah mencabut hukuman pidana mati sedangkan Indonesia masih\nmemberlakukan hukuman pidana mati Sanksi pidana penjara terorisme di Filipina selama 40 tahun\ntanpa pembebasan bersyarat. Sedangkan di Indonesia dapat dijatuhi hukuman pidana penjara paling\nsingkat 5 tahun dan paling lama 20 tahun, pidana penjara seumur hidup atau pidana mati. Persamaan\ndiantara keduanya yakni memiliki lembaga khusus yang menangani penanggulangan terorisme dan\nkerjasama internasional penanggulangan terorisme\nKata Kunci : Perbandingan Hukum, Terorisme, Undang-Undang.&quot;,&quot;publisher&quot;:&quot;Universitas Pancasakti&quot;,&quot;volume&quot;:&quot;1&quot;},&quot;isTemporary&quot;:false}]},{&quot;citationID&quot;:&quot;MENDELEY_CITATION_4bd70cd1-d53d-48f0-a381-de296c5cb1c0&quot;,&quot;properties&quot;:{&quot;noteIndex&quot;:0},&quot;isEdited&quot;:false,&quot;manualOverride&quot;:{&quot;isManuallyOverridden&quot;:false,&quot;citeprocText&quot;:&quot;(Setiawan &amp;#38; Putranto, 2023)&quot;,&quot;manualOverrideText&quot;:&quot;&quot;},&quot;citationTag&quot;:&quot;MENDELEY_CITATION_v3_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&quot;,&quot;citationItems&quot;:[{&quot;id&quot;:&quot;205ba8c9-f929-3549-b3dd-de035f67eea1&quot;,&quot;itemData&quot;:{&quot;type&quot;:&quot;article-journal&quot;,&quot;id&quot;:&quot;205ba8c9-f929-3549-b3dd-de035f67eea1&quot;,&quot;title&quot;:&quot;PERBANDINGAN REGULASI PENANGANAN KEJAHATAN TERORISME DI INDONESIA DAN MALAYSIA&quot;,&quot;author&quot;:[{&quot;family&quot;:&quot;Setiawan&quot;,&quot;given&quot;:&quot;Adji Rahmat Andre&quot;,&quot;parse-names&quot;:false,&quot;dropping-particle&quot;:&quot;&quot;,&quot;non-dropping-particle&quot;:&quot;&quot;},{&quot;family&quot;:&quot;Putranto&quot;,&quot;given&quot;:&quot;Rachmat Dwi&quot;,&quot;parse-names&quot;:false,&quot;dropping-particle&quot;:&quot;&quot;,&quot;non-dropping-particle&quot;:&quot;&quot;}],&quot;container-title&quot;:&quot;Journal Evidence Of Law&quot;,&quot;URL&quot;:&quot;https://jurnal.erapublikasi.id/index.php/JEL&quot;,&quot;issued&quot;:{&quot;date-parts&quot;:[[2023]]},&quot;abstract&quot;:&quot;Indonesia is one of the countries with a considerable impact of terrorism, Indonesia should pay great attention to the development of radical currents and terrorist organizations. Terrorism is a major threat to the resilience and security of all Indonesian people. Even terrorism is becoming a common enemy around the world. Indonesia is one of the countries that faces a high level of terrorism cases. The Global Terrorism Index is published by the Institute for Economics and Peace. Indonesia is in 38th position out of 143 countries worldwide in terms of terrorism cases, Indonesia has issued regulations related to terrorism designed based on the Bali I bombing on October 12, 2002. Comparison with Malaysia shows that the country was ranked 61st out of 143 countries in the Global Terrorism Index 2016 with a value of 2,691. The author is interested in analyzing the differences in regulation in the handling of crime in the two countries, with the title comparison of regulation on the handling of terrorism crimes in Indonesia and Malaysia. This study uses normative legal research methods that are prescriptive analysis by reviewing legislation.&quot;,&quot;issue&quot;:&quot;2&quot;,&quot;volume&quot;:&quot;2&quot;},&quot;isTemporary&quot;:false}]},{&quot;citationID&quot;:&quot;MENDELEY_CITATION_c2622b4b-3fc6-4c05-b9a9-0cfae900e174&quot;,&quot;properties&quot;:{&quot;noteIndex&quot;:0},&quot;isEdited&quot;:false,&quot;manualOverride&quot;:{&quot;isManuallyOverridden&quot;:false,&quot;citeprocText&quot;:&quot;(Elfiana et al., 2023)&quot;,&quot;manualOverrideText&quot;:&quot;&quot;},&quot;citationItems&quot;:[{&quot;id&quot;:&quot;8b79e850-5e7f-3048-848a-8615d23ee342&quot;,&quot;itemData&quot;:{&quot;type&quot;:&quot;article-journal&quot;,&quot;id&quot;:&quot;8b79e850-5e7f-3048-848a-8615d23ee342&quot;,&quot;title&quot;:&quot;IMPLEMENTASI SISTEM MANAJEMEN MUTU ISO 29993:2017 PADA KLAUSUL FASILITATOR DI PROGRAM PELATIHAN PERDAGANGAN EKSPOR LPK GLOBAL EDUKASI TALENTA INKUBATOR&quot;,&quot;author&quot;:[{&quot;family&quot;:&quot;Elfiana&quot;,&quot;given&quot;:&quot;---------------------Nurul&quot;,&quot;parse-names&quot;:false,&quot;dropping-particle&quot;:&quot;&quot;,&quot;non-dropping-particle&quot;:&quot;&quot;},{&quot;family&quot;:&quot;Adawiyah&quot;,&quot;given&quot;:&quot;Robiatul&quot;,&quot;parse-names&quot;:false,&quot;dropping-particle&quot;:&quot;&quot;,&quot;non-dropping-particle&quot;:&quot;&quot;},{&quot;family&quot;:&quot;Robbani&quot;,&quot;given&quot;:&quot;Hamzah&quot;,&quot;parse-names&quot;:false,&quot;dropping-particle&quot;:&quot;&quot;,&quot;non-dropping-particle&quot;:&quot;&quot;}],&quot;container-title&quot;:&quot;JUDICIOUS&quot;,&quot;DOI&quot;:&quot;10.37010/jdc.v4i1&quot;,&quot;URL&quot;:&quot;https://doi.org/10.37010/jdc.v4i1&quot;,&quot;issued&quot;:{&quot;date-parts&quot;:[[2023]]},&quot;page&quot;:&quot;67-82&quot;,&quot;volume&quot;:&quot;4&quot;,&quot;container-title-short&quot;:&quot;&quot;},&quot;isTemporary&quot;:false}],&quot;citationTag&quot;:&quot;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quot;},{&quot;citationID&quot;:&quot;MENDELEY_CITATION_c4823598-3f74-411f-bff8-dcbc389e1754&quot;,&quot;properties&quot;:{&quot;noteIndex&quot;:0},&quot;isEdited&quot;:false,&quot;manualOverride&quot;:{&quot;isManuallyOverridden&quot;:false,&quot;citeprocText&quot;:&quot;(Dwi Putranto &amp;#38; Harvelian, 2023)&quot;,&quot;manualOverrideText&quot;:&quot;&quot;},&quot;citationItems&quot;:[{&quot;id&quot;:&quot;cae6c3cc-202e-34cd-94fa-9229a832f7fc&quot;,&quot;itemData&quot;:{&quot;type&quot;:&quot;article-journal&quot;,&quot;id&quot;:&quot;cae6c3cc-202e-34cd-94fa-9229a832f7fc&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Tag&quot;:&quot;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D&quot;:&quot;MENDELEY_CITATION_4a6c99c3-7d36-455c-bcdd-00d846247ff3&quot;,&quot;properties&quot;:{&quot;noteIndex&quot;:0},&quot;isEdited&quot;:false,&quot;manualOverride&quot;:{&quot;isManuallyOverridden&quot;:false,&quot;citeprocText&quot;:&quot;(Darma et al., 2018)&quot;,&quot;manualOverrideText&quot;:&quot;&quot;},&quot;citationTag&quot;:&quot;MENDELEY_CITATION_v3_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&quot;,&quot;citationItems&quot;:[{&quot;id&quot;:&quot;beccfb5a-a83b-3c7a-8515-17315b173737&quot;,&quot;itemData&quot;:{&quot;type&quot;:&quot;article-journal&quot;,&quot;id&quot;:&quot;beccfb5a-a83b-3c7a-8515-17315b173737&quot;,&quot;title&quot;:&quot;Kebijakan Formulasi Hukum Pidana Dalam Penanggulangan Tindak Pidana Terorisme Di Indonesia&quot;,&quot;author&quot;:[{&quot;family&quot;:&quot;Darma&quot;,&quot;given&quot;:&quot;Natalia Budi&quot;,&quot;parse-names&quot;:false,&quot;dropping-particle&quot;:&quot;&quot;,&quot;non-dropping-particle&quot;:&quot;&quot;},{&quot;family&quot;:&quot;Wahyuningsih&quot;,&quot;given&quot;:&quot;Sri Endah&quot;,&quot;parse-names&quot;:false,&quot;dropping-particle&quot;:&quot;&quot;,&quot;non-dropping-particle&quot;:&quot;&quot;},{&quot;family&quot;:&quot;Hanim&quot;,&quot;given&quot;:&quot;Latifah&quot;,&quot;parse-names&quot;:false,&quot;dropping-particle&quot;:&quot;&quot;,&quot;non-dropping-particle&quot;:&quot;&quot;}],&quot;container-title&quot;:&quot;Jurnal Daulat Hukum&quot;,&quot;issued&quot;:{&quot;date-parts&quot;:[[2018]]},&quot;volume&quot;:&quot;1&quot;,&quot;container-title-short&quot;:&quot;&quot;},&quot;isTemporary&quot;:false}]},{&quot;citationID&quot;:&quot;MENDELEY_CITATION_ee78f6d2-c51b-477f-bb8a-32020b2ea55e&quot;,&quot;properties&quot;:{&quot;noteIndex&quot;:0},&quot;isEdited&quot;:false,&quot;manualOverride&quot;:{&quot;isManuallyOverridden&quot;:false,&quot;citeprocText&quot;:&quot;(Mujib &amp;#38; Halkis, 2022)&quot;,&quot;manualOverrideText&quot;:&quot;&quot;},&quot;citationTag&quot;:&quot;MENDELEY_CITATION_v3_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&quot;,&quot;citationItems&quot;:[{&quot;id&quot;:&quot;fd973b35-50ae-335f-acef-71370c4ffb5b&quot;,&quot;itemData&quot;:{&quot;type&quot;:&quot;article-journal&quot;,&quot;id&quot;:&quot;fd973b35-50ae-335f-acef-71370c4ffb5b&quot;,&quot;title&quot;:&quot;Upaya Pemerintah Malaysia Menanggulangi Masalah Terorisme&quot;,&quot;author&quot;:[{&quot;family&quot;:&quot;Mujib&quot;,&quot;given&quot;:&quot;Syahrir&quot;,&quot;parse-names&quot;:false,&quot;dropping-particle&quot;:&quot;&quot;,&quot;non-dropping-particle&quot;:&quot;&quot;},{&quot;family&quot;:&quot;Halkis&quot;,&quot;given&quot;:&quot;Mhd&quot;,&quot;parse-names&quot;:false,&quot;dropping-particle&quot;:&quot;&quot;,&quot;non-dropping-particle&quot;:&quot;&quot;}],&quot;container-title&quot;:&quot;Online) Sospol: Jurnal Sosial Politik&quot;,&quot;DOI&quot;:&quot;10.22219/jurnalsospol.v8i2.22549&quot;,&quot;issued&quot;:{&quot;date-parts&quot;:[[2022]]},&quot;page&quot;:&quot;225-240&quot;,&quot;abstract&quot;:&quot;This paper aims to explain the counter-terrorism efforts carried out by the Malaysian government. As is well known, Southeast Asia is a region which is the basis for the development of radical groups that lead to acts of terrorism. Malaysia is one of the countries in Southeast Asia that has experienced various acts of terrorism in line with the development of radical groups in the country. There are around 13 (thirteen) radical groups developing in Malaysia. Indeed this is a threat to security and defense. So that the Malaysian government seeks to overcome various acts of terrorism. By using qualitative methods and the concept of deradicalization, this study found that the Malaysian government's counterterrorism efforts were carried out through the implementation of deradicalization programs and cooperation with countries in the Southeast Asian region. Abstrak Tulisan ini bertujuan untuk menjelaskan upaya penanggulangan terorisme yang dilakukan oleh pemerintah Malaysia. Sebagaimana diketahui, Asia Tenggara adalah Kawasan yang menjadi basis perkembangan kelompok radikal yang mengarah pada tindak terorisme. Malaysia menjadi salah satu negara di Asia Tenggara yang mengalami berbagai tindak terorisme seiring dengan adanya perkembangan kelompok radikal di negara tersebut. Terdapat sekitar 13 (tiga belas) kelompok radikal yang berkembang di Malaysia. Tentunya hal ini menjadi ancaman keamanan dan pertahanan. Sehingga pemerintah Malaysia mengupayakan penanggulangan berbagai aksi terorisme. Dengan menggunakan menggunakan metode kualitatif dan konsep deradikalisasi, penelitian ini menghasilkan temuan bahwa upaya penanggulangan terorisme oleh pemerintah Malaysia dilakukan melalui penerapan program deradikalisasi dan kerjasama dengan negara-negara di kawasan Asia Tenggara.&quot;,&quot;issue&quot;:&quot;2&quot;,&quot;volume&quot;:&quot;8&quot;,&quot;container-title-short&quot;:&quot;&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59485-B94A-4B6E-9D22-A49ECF9B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9</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Wildani Fadhillah</dc:creator>
  <cp:keywords/>
  <dc:description/>
  <cp:lastModifiedBy>Wildani Fadhillah</cp:lastModifiedBy>
  <cp:revision>2</cp:revision>
  <dcterms:created xsi:type="dcterms:W3CDTF">2023-09-12T02:54:00Z</dcterms:created>
  <dcterms:modified xsi:type="dcterms:W3CDTF">2023-09-12T08:21:00Z</dcterms:modified>
</cp:coreProperties>
</file>