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Kajian Terhadap Upaya Perlindungan Hukum Preventif terhadap Merek Dagang di Indonesia Berdasarkan </w:t>
      </w:r>
      <w:sdt>
        <w:sdtPr>
          <w:tag w:val="goog_rdk_0"/>
        </w:sdtPr>
        <w:sdtContent>
          <w:commentRangeStart w:id="0"/>
        </w:sdtContent>
      </w:sdt>
      <w:r w:rsidDel="00000000" w:rsidR="00000000" w:rsidRPr="00000000">
        <w:rPr>
          <w:rFonts w:ascii="Times New Roman" w:cs="Times New Roman" w:eastAsia="Times New Roman" w:hAnsi="Times New Roman"/>
          <w:b w:val="1"/>
          <w:sz w:val="28"/>
          <w:szCs w:val="28"/>
          <w:highlight w:val="white"/>
          <w:rtl w:val="0"/>
        </w:rPr>
        <w:t xml:space="preserve">Undang-Undang Nomor 20 Tahun 2016 tentang Merek </w:t>
      </w:r>
      <w:commentRangeEnd w:id="0"/>
      <w:r w:rsidDel="00000000" w:rsidR="00000000" w:rsidRPr="00000000">
        <w:commentReference w:id="0"/>
      </w:r>
      <w:r w:rsidDel="00000000" w:rsidR="00000000" w:rsidRPr="00000000">
        <w:rPr>
          <w:rFonts w:ascii="Times New Roman" w:cs="Times New Roman" w:eastAsia="Times New Roman" w:hAnsi="Times New Roman"/>
          <w:b w:val="1"/>
          <w:sz w:val="28"/>
          <w:szCs w:val="28"/>
          <w:highlight w:val="white"/>
          <w:rtl w:val="0"/>
        </w:rPr>
        <w:t xml:space="preserve">dan Indikasi Geografis</w:t>
      </w:r>
    </w:p>
    <w:p w:rsidR="00000000" w:rsidDel="00000000" w:rsidP="00000000" w:rsidRDefault="00000000" w:rsidRPr="00000000" w14:paraId="0000000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Pentingnya perlindungan hukum terhadap merek dagang di Indonesia tercermin dalam upaya preventif yang diatur oleh Undang-Undang Nomor 20 Tahun 2016 tentang Merek dan Indikasi Geografis. Penelitian ini menganalisis implementasi perlindungan hukum preventif tersebut dengan fokus pada pendaftaran merek. Metode analisis normatif dan pendekatan studi kepustakaan digunakan untuk mengkaji peran dan kendala dalam penerapan upaya preventif ini. Dalam konteks perlindungan merek dagang di Indonesia, pendekatan hukum preventif memiliki peran yang penting untuk mencegah terjadinya pelanggaran hak merek. Dengan mengacu pada Undang-Undang Nomor 20 Tahun 2016 tentang Merek dan Indikasi Geografis, upaya preventif dalam bentuk pendaftaran merek di Kementerian Hukum dan Hak Asasi Manusia (HAM) serta kewajiban pemegang merek untuk memenuhi persyaratan formal dan substantif menjadi landasan dalam memberikan perlindungan eksklusif terhadap merek. Melalui proses pendaftaran, pemegang merek mendapatkan kepastian hukum yang mengamankan hak eksklusifnya. Selanjutnya, implementasi praktis perlindungan preventif ini juga memerlukan peningkatan kualitas sumber daya manusia di lembaga terkait, serta penguasaan bahasa asing dan penerapan teknologi guna meminimalisir peluang terjadinya pelanggaran hak merek.</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w:t>
      </w:r>
      <w:r w:rsidDel="00000000" w:rsidR="00000000" w:rsidRPr="00000000">
        <w:rPr>
          <w:rFonts w:ascii="Times New Roman" w:cs="Times New Roman" w:eastAsia="Times New Roman" w:hAnsi="Times New Roman"/>
          <w:color w:val="222222"/>
          <w:sz w:val="24"/>
          <w:szCs w:val="24"/>
          <w:highlight w:val="white"/>
          <w:rtl w:val="0"/>
        </w:rPr>
        <w:t xml:space="preserve">: Perlindungan Hukum, Merek Dagang, Hukum Preventif, Undang-Undang Merek, Hak Eksklusif</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importance of legal protection for trademarks in Indonesia is reflected in the preventive measures regulated by Law Number 20 of 2016 concerning Marks and Geographical Indications. This study analyzes the implementation of preventive legal protection with a focus on trademark registration. Normative analysis methods and literature study approaches are used to examine the roles and constraints in implementing this preventive measure. In Indonesia's trademark protection context, a preventive legal approach plays an important role in preventing trademark rights infringement. With reference to Law Number 20 of 2016 concerning Marks and Geographical Indications, preventive efforts in the form of registering a mark at the Ministry of Law and Human Rights (HAM) as well as the obligation of trademark holders to fulfill formal and substantive requirements form the basis for providing exclusive protection for brands. Through registration, brand holders obtain legal certainty that secures their exclusive rights. Furthermore, the practical implementation of this preventive protection also requires improving the quality of human resources in related institutions, as well as mastery of foreign languages and the application of technology to minimize opportunities for trademark rights violations.</w:t>
      </w:r>
    </w:p>
    <w:p w:rsidR="00000000" w:rsidDel="00000000" w:rsidP="00000000" w:rsidRDefault="00000000" w:rsidRPr="00000000" w14:paraId="00000008">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w:t>
      </w:r>
      <w:r w:rsidDel="00000000" w:rsidR="00000000" w:rsidRPr="00000000">
        <w:rPr>
          <w:rFonts w:ascii="Times New Roman" w:cs="Times New Roman" w:eastAsia="Times New Roman" w:hAnsi="Times New Roman"/>
          <w:i w:val="1"/>
          <w:color w:val="222222"/>
          <w:sz w:val="24"/>
          <w:szCs w:val="24"/>
          <w:highlight w:val="white"/>
          <w:rtl w:val="0"/>
        </w:rPr>
        <w:t xml:space="preserve">: Legal Protection, Trademark, Preventive Law, Trademark Law, Exclusive Rights</w:t>
      </w:r>
    </w:p>
    <w:p w:rsidR="00000000" w:rsidDel="00000000" w:rsidP="00000000" w:rsidRDefault="00000000" w:rsidRPr="00000000" w14:paraId="00000009">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B">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persaingan bisnis yang semakin kompetitif, baik di dalam maupun di luar negeri, di tengah era perdagangan global saat ini, peranan hukum Hak Atas Kekayaan Intelektual (HaKI) menjadi amat penting. Terutama, HaKI memiliki peran yang sangat signifikan dalam menjaga keberlangsungan persaingan usaha yang sehat serta dalam mencegah potensi terjadinya persaingan yang tidak fair, termasuk diantaranya praktik peniruan, pembajakan, dan penggunaan Hak Atas Kekayaan Intelektual tanpa izin dari pemilik sahnya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PERLINDUNGAN HUKUM TERHADAP MEREK (TINJAUAN TERHADAP MEREK DAGANG TUPPERWARE VERSUS TULIPWARE)</w:t>
      </w:r>
      <w:r w:rsidDel="00000000" w:rsidR="00000000" w:rsidRPr="00000000">
        <w:rPr>
          <w:rFonts w:ascii="Times New Roman" w:cs="Times New Roman" w:eastAsia="Times New Roman" w:hAnsi="Times New Roman"/>
          <w:rtl w:val="0"/>
        </w:rPr>
        <w:t xml:space="preserve">, n.d.)</w:t>
      </w:r>
      <w:r w:rsidDel="00000000" w:rsidR="00000000" w:rsidRPr="00000000">
        <w:rPr>
          <w:rtl w:val="0"/>
        </w:rPr>
      </w:r>
    </w:p>
    <w:p w:rsidR="00000000" w:rsidDel="00000000" w:rsidP="00000000" w:rsidRDefault="00000000" w:rsidRPr="00000000" w14:paraId="0000000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Kekayaan intelektual mengacu pada hak-hak khusus yang hanya dapat dimanfaatkan atau dijalankan oleh pemilik hak cipta, dan itulah sebabnya perlindungan terhadap kekayaan intelektual menjadi sangat penting. Karya-karya seni, sastra, musik, dan program komputer memainkan peran yang sangat penting dalam memperkaya dan membangun suatu keadaan serta peradaban manusia dari satu periode ke periode berikutnya. Berdasarkan pertimbangan akan pentingnya kekayaan intelektual seperti yang telah dijelaskan sebelumnya, Indonesia mengembangkan konsep Hak Kekayaan Intelektual (HAKI) sebagai langkah untuk menghasilkan nilai ekonomi yang pada akhirnya dapat berkontribusi pada kesejahteraan masyarakat Indonesia </w:t>
      </w:r>
      <w:r w:rsidDel="00000000" w:rsidR="00000000" w:rsidRPr="00000000">
        <w:rPr>
          <w:rFonts w:ascii="Times New Roman" w:cs="Times New Roman" w:eastAsia="Times New Roman" w:hAnsi="Times New Roman"/>
          <w:rtl w:val="0"/>
        </w:rPr>
        <w:t xml:space="preserve">(Fakhlur &amp; Fauzi, 2023)</w:t>
      </w:r>
      <w:r w:rsidDel="00000000" w:rsidR="00000000" w:rsidRPr="00000000">
        <w:rPr>
          <w:rtl w:val="0"/>
        </w:rPr>
      </w:r>
    </w:p>
    <w:p w:rsidR="00000000" w:rsidDel="00000000" w:rsidP="00000000" w:rsidRDefault="00000000" w:rsidRPr="00000000" w14:paraId="0000000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Merek merupakan bentuk perlindungan yang termasuk dalam lingkup Hak atas Kekayaan Intelektual, yang memberikan hak eksklusif kepada pemilik merek yang telah terdaftar untuk periode waktu yang ditentukan. Hak ini memungkinkan pemilik merek untuk menggunakan tanda merek tersebut dalam aktivitas perdagangan baik untuk barang maupun jasa, dengan memperhatikan kelas dan jenis barang atau jasa yang spesifik yang telah didaftarkan. Selain itu, pemilik merek juga diberi wewenang untuk memberikan izin kepada pihak lain untuk menggunakan merek tersebut </w:t>
      </w:r>
      <w:r w:rsidDel="00000000" w:rsidR="00000000" w:rsidRPr="00000000">
        <w:rPr>
          <w:rFonts w:ascii="Times New Roman" w:cs="Times New Roman" w:eastAsia="Times New Roman" w:hAnsi="Times New Roman"/>
          <w:rtl w:val="0"/>
        </w:rPr>
        <w:t xml:space="preserve">(Seno Wijanarko &amp; Pribadi, n.d.)</w:t>
      </w:r>
      <w:r w:rsidDel="00000000" w:rsidR="00000000" w:rsidRPr="00000000">
        <w:rPr>
          <w:rtl w:val="0"/>
        </w:rPr>
      </w:r>
    </w:p>
    <w:p w:rsidR="00000000" w:rsidDel="00000000" w:rsidP="00000000" w:rsidRDefault="00000000" w:rsidRPr="00000000" w14:paraId="0000000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Merek dagang yang melekat pada suatu produk tertentu, baik barang maupun jasa, telah berhasil mendapatkan pengakuan yang luas di masyarakat, menempatkannya dalam posisi yang terhormat di mata pelanggan. Kehadiran merek tersebut telah membentuk hierarki dalam persepsi masyarakat terhadap produk tersebut. Konsekuensinya, para pelaku bisnis merasa terdorong untuk mengembangkan aktivitas usaha mereka dengan semangat lebih tinggi, dengan tujuan untuk meningkatkan level serta reputasi dari merek komersial tersebut di kalangan masyarakat. Hal ini berdampak pada popularitas yang meningkat dan peningkatan produksi baik barang maupun jasa yang ditawarkan. Melihat evolusi dan variasi yang terjadi dalam bentuk pelanggaran terhadap merek dagang ini, kebutuhan akan perlindungan hukum terhadap merek semakin tumbuh dari waktu ke waktu. Faktor ini kian penting seiring dengan beragamnya bentuk pelanggaran yang terjadi dalam konteks persaingan bisnis yang tidak sehat yang melibatkan para pelaku usaha dalam sektor perdagangan </w:t>
      </w:r>
      <w:r w:rsidDel="00000000" w:rsidR="00000000" w:rsidRPr="00000000">
        <w:rPr>
          <w:rFonts w:ascii="Times New Roman" w:cs="Times New Roman" w:eastAsia="Times New Roman" w:hAnsi="Times New Roman"/>
          <w:color w:val="000000"/>
          <w:sz w:val="24"/>
          <w:szCs w:val="24"/>
          <w:rtl w:val="0"/>
        </w:rPr>
        <w:t xml:space="preserve">(Sukro, n.d.)</w:t>
      </w:r>
      <w:r w:rsidDel="00000000" w:rsidR="00000000" w:rsidRPr="00000000">
        <w:rPr>
          <w:rtl w:val="0"/>
        </w:rPr>
      </w:r>
    </w:p>
    <w:p w:rsidR="00000000" w:rsidDel="00000000" w:rsidP="00000000" w:rsidRDefault="00000000" w:rsidRPr="00000000" w14:paraId="0000000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Regulasi hukum di Indonesia mengenai merek tertuang dalam UU No. 20 Tahun 2016 tentang Merek dan Indikasi Geografis. Dalam pasal 2 UU Merek dijabarkan bahwa perlindungan merek mencakup berbagai bentuk seperti gambar, logo, nama, kata, huruf, angka, susunan warna, dalam format 2 atau 3 dimensi, suara, hologram, atau bahkan gabungan dari dua atau lebih elemen tersebut. Fungsi utama merek adalah untuk membedakan barang atau jasa yang dihasilkan oleh individu atau badan hukum dalam konteks kegiatan perdagangan atau jasa. Agar merek mendapatkan perlindungan hukum, maka harus terlebih dahulu didaftarkan. Keterangan lengkap tentang tata cara dan persyaratan pendaftaran terdapat pada Bab III undang-undang ini, mencakup Pasal 4 sampai Pasal 19. UU Merek juga mengandung beberapa pasal yang menetapkan perlindungan hukum bagi pemilik merek, diantaranya Pasal 100, Pasal 101, dan Pasal 102. Namun, penting untuk dicatat bahwa undang-undang ini mengikuti prinsip delik aduan. Dengan kata lain, meskipun terjadi pelanggaran terhadap merek yang teridentifikasi, jika tidak ada pengaduan resmi dari pemilik merek, perlindungan hukum tidak akan diberikan </w:t>
      </w:r>
      <w:r w:rsidDel="00000000" w:rsidR="00000000" w:rsidRPr="00000000">
        <w:rPr>
          <w:rFonts w:ascii="Times New Roman" w:cs="Times New Roman" w:eastAsia="Times New Roman" w:hAnsi="Times New Roman"/>
          <w:color w:val="000000"/>
          <w:sz w:val="24"/>
          <w:szCs w:val="24"/>
          <w:rtl w:val="0"/>
        </w:rPr>
        <w:t xml:space="preserve">(Sheilindry, 2021)</w:t>
      </w:r>
      <w:r w:rsidDel="00000000" w:rsidR="00000000" w:rsidRPr="00000000">
        <w:rPr>
          <w:rtl w:val="0"/>
        </w:rPr>
      </w:r>
    </w:p>
    <w:p w:rsidR="00000000" w:rsidDel="00000000" w:rsidP="00000000" w:rsidRDefault="00000000" w:rsidRPr="00000000" w14:paraId="0000001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kerangka dunia bisnis di Indonesia, isu seputar barang palsu telah menjadi fokus perhatian serius. Praktik barang-barang palsu dapat muncul melalui tindakan pemalsuan merek, baik pada produk itu sendiri maupun pada kemasannya, bahkan bisa juga terkait hanya dengan produk yang bersangkutan. Sebagai contoh, sebuah peristiwa mengenai beras plastik yang berasal dari China yang mencuat beberapa waktu lalu, telah memicu perhatian dan kehebohan di kalangan masyarakat Indonesia </w:t>
      </w:r>
      <w:r w:rsidDel="00000000" w:rsidR="00000000" w:rsidRPr="00000000">
        <w:rPr>
          <w:rFonts w:ascii="Times New Roman" w:cs="Times New Roman" w:eastAsia="Times New Roman" w:hAnsi="Times New Roman"/>
          <w:color w:val="000000"/>
          <w:sz w:val="24"/>
          <w:szCs w:val="24"/>
          <w:rtl w:val="0"/>
        </w:rPr>
        <w:t xml:space="preserve">(Santoso et al., 2016)</w:t>
      </w:r>
      <w:r w:rsidDel="00000000" w:rsidR="00000000" w:rsidRPr="00000000">
        <w:rPr>
          <w:rtl w:val="0"/>
        </w:rPr>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Tujuan utama dari perlindungan hukum bagi pemilik merek yang sah adalah untuk memberikan hak eksklusif kepada mereka. Hal ini memastikan bahwa pihak lain tidak diperbolehkan untuk menggunakan tanda yang serupa atau mirip dalam konteks barang atau jasa yang serupa atau sama. Prinsip ini mencerminkan unsur monopoli, dimana hak eksklusif ini hanya dimiliki oleh pemilik merek. Pemegang hak memiliki kewenangan untuk menggunakan mereknya, dengan syarat tetap mematuhi peraturan yang telah ditetapkan untuk penggunaan merek. Tidak hanya itu, pemilik hak juga memiliki hak untuk menghalangi pihak lain menggunakan merek tersebut atau memberikan izin penggunaan </w:t>
      </w:r>
      <w:r w:rsidDel="00000000" w:rsidR="00000000" w:rsidRPr="00000000">
        <w:rPr>
          <w:rFonts w:ascii="Times New Roman" w:cs="Times New Roman" w:eastAsia="Times New Roman" w:hAnsi="Times New Roman"/>
          <w:color w:val="000000"/>
          <w:sz w:val="24"/>
          <w:szCs w:val="24"/>
          <w:rtl w:val="0"/>
        </w:rPr>
        <w:t xml:space="preserve">(Nurcahya Dwi Putra Alumni Fakultas Hukum Untag Surabaya, 2014)</w:t>
      </w:r>
      <w:r w:rsidDel="00000000" w:rsidR="00000000" w:rsidRPr="00000000">
        <w:rPr>
          <w:rtl w:val="0"/>
        </w:rPr>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Apabila penegak hukum membiarkan praktik pembajakan merek yang telah dikenal di kalangan masyarakat berlangsung, hal ini berpotensi menghasilkan dampak yang mengecewakan para pelaku usaha yang telah dengan tekun dan integritas menggunakan merek mereka dalam operasional bisnis. Dampak dari fenomena pembajakan ini tak hanya mengakibatkan kerugian bagi pengusaha dan pemegang hak merek, tetapi juga berimplikasi pada konsumen. Pengusaha yang telah mengeluarkan investasi yang besar untuk membangun, mempromosikan, serta menjaga kualitas dan reputasi merek mereka akan merasa kecewa dan merugi. Situasi ini menjadi perhatian yang penting, mengingat bahwa reputasi yang baik di mata konsumen merupakan salah satu aset yang paling berharga dalam konteks bisnis </w:t>
      </w:r>
      <w:r w:rsidDel="00000000" w:rsidR="00000000" w:rsidRPr="00000000">
        <w:rPr>
          <w:rFonts w:ascii="Times New Roman" w:cs="Times New Roman" w:eastAsia="Times New Roman" w:hAnsi="Times New Roman"/>
          <w:color w:val="000000"/>
          <w:sz w:val="24"/>
          <w:szCs w:val="24"/>
          <w:rtl w:val="0"/>
        </w:rPr>
        <w:t xml:space="preserve">(Hertati Gultom Abstrak, 2018)</w:t>
      </w:r>
      <w:r w:rsidDel="00000000" w:rsidR="00000000" w:rsidRPr="00000000">
        <w:rPr>
          <w:rtl w:val="0"/>
        </w:rPr>
      </w:r>
    </w:p>
    <w:p w:rsidR="00000000" w:rsidDel="00000000" w:rsidP="00000000" w:rsidRDefault="00000000" w:rsidRPr="00000000" w14:paraId="00000013">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artikel ini, peneliti memilih untuk mengadopsi metode penelitian hukum normatif. Prinsip-prinsip hukum normatif, sejalan dengan interpretasi Marzuki tahun 2010 seperti yang dirujuk dalam tulisan Putranto &amp; Harvelin pada tahun 2023, mengacu pada pendekatan yang bertujuan untuk mengidentifikasi norma-norma hukum, prinsip-prinsip hukum, dan doktrin-doktrin hukum guna menghadapi permasalahan hukum yang dihadapi. Selain itu, metode ini mengaplikasikan pendekatan studi kepustakaan, diambil sebagai landasan karena bahan literatur diperoleh dari berbagai referensi buku, publikasi ilmiah, dan tulisan lain. Dalam kerangka ini, strategi perundang-undangan (pendekatan peraturan) dipilih untuk menyelami seluruh undang-undang dan regulasi yang berkaitan dengan permasalahan hukum yang tengah dikaji (Kadir, 1998; </w:t>
      </w:r>
      <w:r w:rsidDel="00000000" w:rsidR="00000000" w:rsidRPr="00000000">
        <w:rPr>
          <w:rFonts w:ascii="Times New Roman" w:cs="Times New Roman" w:eastAsia="Times New Roman" w:hAnsi="Times New Roman"/>
          <w:rtl w:val="0"/>
        </w:rPr>
        <w:t xml:space="preserve">(Dwi Putranto &amp; Harvelian, 2023)</w:t>
      </w:r>
      <w:r w:rsidDel="00000000" w:rsidR="00000000" w:rsidRPr="00000000">
        <w:rPr>
          <w:rFonts w:ascii="Times New Roman" w:cs="Times New Roman" w:eastAsia="Times New Roman" w:hAnsi="Times New Roman"/>
          <w:sz w:val="24"/>
          <w:szCs w:val="24"/>
          <w:rtl w:val="0"/>
        </w:rPr>
        <w:t xml:space="preserve">), terutama dalam konteks pelanggaran hak merek.</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Sumber-sumber hukum yang digunakan dalam penelitian ini mencakup sumber utama dan sumber sekunder. Sumber utama melibatkan semua perangkat atau dokumen hukum yang dikeluarkan oleh pihak berwenang yang memiliki wewenang untuk merumuskan aturan hukum; semua dokumen hukum yang memiliki dampak hukum bagi pihak yang terlibat dalam proses pembuatan; serta dokumen hukum yang memiliki karakteristik yang mengikat (Irawan, 2020). Sementara itu, sumber sekunder merujuk pada semua materi hukum yang tidak memiliki kekuatan hukum atau dampak hukum, tetapi memiliki daya persuasi dan menjadi referensi penting serta pendukung bagi sumber hukum utama </w:t>
      </w:r>
      <w:r w:rsidDel="00000000" w:rsidR="00000000" w:rsidRPr="00000000">
        <w:rPr>
          <w:rFonts w:ascii="Times New Roman" w:cs="Times New Roman" w:eastAsia="Times New Roman" w:hAnsi="Times New Roman"/>
          <w:color w:val="000000"/>
          <w:sz w:val="24"/>
          <w:szCs w:val="24"/>
          <w:rtl w:val="0"/>
        </w:rPr>
        <w:t xml:space="preserve">(Yuridis et al., 2020)</w:t>
      </w:r>
      <w:r w:rsidDel="00000000" w:rsidR="00000000" w:rsidRPr="00000000">
        <w:rPr>
          <w:rFonts w:ascii="Times New Roman" w:cs="Times New Roman" w:eastAsia="Times New Roman" w:hAnsi="Times New Roman"/>
          <w:sz w:val="24"/>
          <w:szCs w:val="24"/>
          <w:rtl w:val="0"/>
        </w:rPr>
        <w:t xml:space="preserve"> Pendekatan pencarian bahan hukum melibatkan metode studi kepustakaan, dan analisis penelitian menggunakan metode analisis kualitatif </w:t>
      </w:r>
      <w:r w:rsidDel="00000000" w:rsidR="00000000" w:rsidRPr="00000000">
        <w:rPr>
          <w:rFonts w:ascii="Times New Roman" w:cs="Times New Roman" w:eastAsia="Times New Roman" w:hAnsi="Times New Roman"/>
          <w:color w:val="000000"/>
          <w:sz w:val="24"/>
          <w:szCs w:val="24"/>
          <w:rtl w:val="0"/>
        </w:rPr>
        <w:t xml:space="preserve">(Pidana et al., 2022)</w:t>
      </w: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b w:val="1"/>
          <w:strike w:val="1"/>
          <w:sz w:val="24"/>
          <w:szCs w:val="24"/>
        </w:rPr>
      </w:pPr>
      <w:r w:rsidDel="00000000" w:rsidR="00000000" w:rsidRPr="00000000">
        <w:rPr>
          <w:rFonts w:ascii="Times New Roman" w:cs="Times New Roman" w:eastAsia="Times New Roman" w:hAnsi="Times New Roman"/>
          <w:b w:val="1"/>
          <w:strike w:val="1"/>
          <w:sz w:val="24"/>
          <w:szCs w:val="24"/>
          <w:rtl w:val="0"/>
        </w:rPr>
        <w:t xml:space="preserve">Pembahasan</w:t>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1B">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Kekayaan intelektual mengacu pada hak-hak khusus yang hanya dapat dimanfaatkan atau dijalankan oleh pemilik hak cipta, dan itulah sebabnya perlindungan terhadap kekayaan intelektual menjadi sangat penting. Karya-karya seni, sastra, musik, dan program komputer memainkan peran yang sangat penting dalam memperkaya dan membangun suatu keadaan serta peradaban manusia dari satu periode ke periode berikutnya. Berdasarkan pertimbangan akan pentingnya kekayaan intelektual seperti yang telah dijelaskan sebelumnya, Indonesia mengembangkan konsep Hak Kekayaan Intelektual (HAKI) sebagai langkah untuk menghasilkan nilai ekonomi yang pada akhirnya dapat berkontribusi pada kesejahteraan masyarakat Indonesia (Fauzi, 2023)</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Merek merupakan bentuk perlindungan yang termasuk dalam lingkup Hak atas Kekayaan Intelektual, yang memberikan hak eksklusif kepada pemilik merek yang telah terdaftar untuk periode waktu yang ditentukan. Hak ini memungkinkan pemilik merek untuk menggunakan tanda merek tersebut dalam aktivitas perdagangan baik untuk barang maupun jasa, dengan memperhatikan kelas dan jenis barang atau jasa yang spesifik yang telah didaftarkan. Selain itu, pemilik merek juga diberi wewenang untuk memberikan izin kepada pihak lain untuk menggunakan merek tersebut (Wijanarko &amp; Pribadi, 2022)</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dasarnya, proses pendaftaran merek adalah salah satu mekanisme perlindungan yang diatur oleh Undang-Undang Merek. Di Indonesia, sistem yang diterapkan adalah prinsip "first to file", di mana individu atau entitas yang pertama kali mendaftarkan merek akan memiliki hak eksklusif atasnya selama periode 10 tahun. Ini berarti bahwa siapa pun yang telah mendaftarkan merek tersebut memiliki hak eksklusif atas penggunaan merek tersebut dalam konteks komersial, dan tidak ada yang diperbolehkan untuk menggunakan merek tersebut tanpa izin resmi dari pemilik atau pemegang hak merek (Sulastri et al, 2018)</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Pemegang merek dengan pihak lain yang sama-sama mendaftarkan merek yang sama akan diberikan perlindungan hukum dengan menempuh mekanisme upaya hukum preventif untuk memberikan perlindungan terhadap pemilik merek yang sah. Perlindungan hukum preventif merupakan suatu bentuk perlindungan yang mengarah pada tindakan yang bersifat pencegahan suatu pelanggaran atau sengketa. Tujuannya adalah untuk meminimalisir peluang terjadinya pelanggaran serta memberikan batasan-batasan dalam melakukan suatu kewajiban terhadap merek dagang. Perlindungan ini berfokus terhadap pengawasan pemakaian merek, perlindungan terhadap hak eksklusif pemegang hak atas merek dagang, dan anjuran-anjuran kepada pemilik merek untuk mendaftarkan mereknya agar haknya terlindungi (Wijanarko &amp; Pribadi, 2022)</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Faktor-faktor yang harus diperhatikan dalam upaya preventif:</w:t>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Hukum.</w:t>
      </w:r>
    </w:p>
    <w:p w:rsidR="00000000" w:rsidDel="00000000" w:rsidP="00000000" w:rsidRDefault="00000000" w:rsidRPr="00000000" w14:paraId="0000002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konteks perlindungan hukum terhadap merek, Undang-Undang Nomor 20 Tahun 2016 berperan sebagai instrumen yang bertujuan memberikan keamanan hukum bagi pemegang hak merek. Pasal 20 dalam undang-undang ini memuat persyaratan yang harus dipenuhi dalam proses pendaftaran merek. Diuraikan bahwa pendaftaran merek tidak diperbolehkan jika merek tersebut melibatkan unsur-unsur tertentu. Pertama, merek tidak boleh bertentangan dengan ideologi negara, peraturan hukum, norma moral, agama, kesusilaan, atau ketertiban umum. Selanjutnya, merek juga dilarang memiliki kesamaan, keterkaitan, atau hanya merujuk pada barang dan/atau jasa yang diajukan untuk pendaftaran.</w:t>
      </w:r>
    </w:p>
    <w:p w:rsidR="00000000" w:rsidDel="00000000" w:rsidP="00000000" w:rsidRDefault="00000000" w:rsidRPr="00000000" w14:paraId="0000002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merek yang akan didaftarkan tidak boleh berisi elemen-elemen yang dapat menyesatkan masyarakat tentang asal, kualitas, jenis, ukuran, variasi, tujuan penggunaan barang dan/atau jasa yang diminta pendaftaran, termasuk bahan tanaman yang terlindungi, khusus untuk barang dan/atau jasa sejenis. Demikian pula, merek tidak diizinkan memuat informasi yang tidak sesuai dengan karakteristik, manfaat, atau efek dari barang dan/atau jasa yang dihasilkan. Lebih lanjut, merek yang diajukan untuk pendaftaran harus memiliki kemampuan untuk membedakan atau memisahkan produk atau layanan dari pesaing. Akhirnya, merek tidak diizinkan mengandung nama umum atau lambang yang umum dikenal. Pasal 21 ayat (1) juga menegaskan bahwa permohonan merek akan ditolak jika terdapat substansialitas persamaan dengan merek yang telah terdaftar milik pihak lain atau jika merek tersebut telah diajukan lebih dulu oleh pihak lain untuk barang dan/atau jasa sejenis, termasuk merek terkenal yang dimiliki oleh pihak lain. Prinsip ini berlaku juga untuk barang dan/atau jasa yang tidak memiliki sifat yang sama (Wijanarko &amp; Pribadi, 2022)</w:t>
      </w:r>
    </w:p>
    <w:p w:rsidR="00000000" w:rsidDel="00000000" w:rsidP="00000000" w:rsidRDefault="00000000" w:rsidRPr="00000000" w14:paraId="0000002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aparat Direktorat Merek.</w:t>
      </w:r>
    </w:p>
    <w:p w:rsidR="00000000" w:rsidDel="00000000" w:rsidP="00000000" w:rsidRDefault="00000000" w:rsidRPr="00000000" w14:paraId="0000002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Tugas penilaian permohonan pendaftaran merek berada pada tanggung jawab Aparat Direktorat Merek di bawah pengawasan Direktorat Jenderal Hak Kekayaan Intelektual. Saat memeriksa permohonan pendaftaran merek, hal yang paling fundamental yang menjadi fokus adalah upaya mencegah kemungkinan terjadinya merek yang sama atau mirip dengan merek terkenal milik pihak lain. Salah satu faktor yang dapat menyebabkan situasi ini adalah kelemahan dalam sistem filterisasi yang digunakan oleh Aparat Direktorat Merek pada tahap awal pengajuan merek oleh masyarakat. Untuk mengatasi hal ini, diperlukan perbaikan dan peningkatan kualitas sumber daya manusia yang terlibat dalam proses pemeriksaan merek. Tindakan dapat diambil dengan meningkatkan profesionalisme staf di Direktorat Merek melalui program pelatihan, seminar, serta mendorong anggota Aparat Direktorat Merek untuk melanjutkan pendidikan hingga tingkat S2.</w:t>
      </w:r>
    </w:p>
    <w:p w:rsidR="00000000" w:rsidDel="00000000" w:rsidP="00000000" w:rsidRDefault="00000000" w:rsidRPr="00000000" w14:paraId="0000002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penting juga untuk terus meningkatkan penguasaan bahasa asing oleh staf Direktorat Merek, mengingat hal ini menjadi isu penting dalam proses pemeriksaan merek. Dalam era teknologi saat ini, pemahaman terhadap perkembangan teknologi juga menjadi elemen kunci yang harus diperhatikan secara serius oleh Direktorat Merek (Wijanarko &amp; Pribadi, 2022)</w:t>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Pandangan mengenai perlindungan hukum terhadap hak merek merujuk pada esensi hak eksklusif yang dimiliki oleh merek. Hak eksklusif ini memiliki karakter monopoli, di mana hanya pemilik merek yang memiliki kewenangan untuk menjalankannya. Konsep ini menegaskan bahwa hak eksklusif ini bersifat spesifik dan hanya pemilik merek yang dapat menggunakannya. Penggunaan hak eksklusif ini oleh pihak lain memerlukan izin dari pemilik merek; tanpa izin tersebut, pihak lain tidak berhak untuk memanfaatkan hak eksklusif tersebut. Jika terjadi situasi di mana pihak lain menggunakan hak eksklusif tersebut tanpa izin dari pemilik hak merek, maka perbuatan tersebut dapat dianggap sebagai pelanggaran yang berpotensi menghadapi sanksi hukum yang ditetapkan (Putra, 2014)</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hukum secara preventif di dalam konteks ini merujuk pada upaya perlindungan yang dilakukan sebelum adanya tindak pidana atau pelanggaran hukum terkait merek dan merek terkenal. Dalam situasi ini, tanggung jawab utama terletak pada pemilik merek untuk melakukan pendaftaran mereknya agar mendapatkan perlindungan hukum yang diperlukan. Pasal 3 dari Undang-Undang (UU) Merek secara tegas menyatakan bahwa hak atas merek memiliki sifat eksklusif yang diberikan oleh negara kepada pemilik merek yang telah terdaftar dalam daftar umum merek untuk periode tertentu. Pemilik merek tersebut memiliki hak untuk menggunakan merek tersebut secara pribadi atau memberikan izin kepada pihak lain untuk menggunakannya. Sebagai kelanjutan dari konsep ini, Pasal 28 UU Merek menegaskan bahwa merek yang telah terdaftar memiliki perlindungan hukum yang berlaku selama 10 (sepuluh) tahun sejak tanggal penerimaan pendaftaran merek (filing date), serta dapat diperpanjang sesuai ketentuan yang berlaku. Oleh karena itu, bagi individu atau entitas yang berkeinginan agar mereknya mendapatkan perlindungan hukum sesuai hukum merek, langkah pertama yang harus diambil adalah mendaftarkan merek tersebut. Proses pendaftaran merek akan diterima dan diproses apabila memenuhi semua persyaratan baik secara formal maupun substansial yang telah diatur dalam UU Merek (Gultom, 2018)</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belum ada peraturan yang secara khusus mengatur perlindungan hukum preventif. Namun, pentingnya perlindungan terhadap merek terkenal sebagai merek dagang di Indonesia memiliki implikasi besar terhadap kemajuan dan perkembangan industri dalam negara ini, serta berfungsi sebagai upaya hukum untuk menyediakan rasa aman, kenyamanan, dan kepastian hukum bagi semua pelaku bisnis di Indonesia. Pengakuan terhadap suatu merek dapat dicapai melalui pengajuan permohonan pendaftaran merek melalui Kementerian Hukum dan Hak Asasi Manusia (HAM) kepada Direktorat Jenderal Hak Kekayaan Intelektual (HKI). Proses pendaftaran merek ini merupakan cara untuk mengamankan hak pemilik merek, sehingga pemilik merek dapat memperoleh manfaat dari perlindungan yang disediakan oleh pemerintah. Dalam kerangka sistem hukum Hak Kekayaan Intelektual di Indonesia, persyaratan pendaftaran merek diatur oleh Pasal 5 Undang-Undang Nomor 20 Tahun 2016 Tentang Merek dan Indikasi Geografis. Pasal ini menegaskan bahwa hak atas merek merupakan hak eksklusif yang diberikan oleh negara kepada pemilik merek yang telah terdaftar dalam jangka waktu tertentu. Pemilik merek ini memiliki hak untuk menggunakan merek tersebut secara pribadi atau memberikan izin kepada pihak lain untuk menggunakannya (Wijanarko &amp; Pribadi, 2022)</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2E">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konteks perlindungan merek dagang di Indonesia, pendekatan hukum preventif memiliki peran yang penting untuk mencegah terjadinya pelanggaran hak merek. Dengan mengacu pada Undang-Undang Nomor 20 Tahun 2016 tentang Merek dan Indikasi Geografis, upaya preventif dalam bentuk pendaftaran merek di Kementerian Hukum dan Hak Asasi Manusia (HAM) serta kewajiban pemegang merek untuk memenuhi persyaratan formal dan substantif menjadi landasan dalam memberikan perlindungan eksklusif terhadap merek. Melalui proses pendaftaran, pemegang merek mendapatkan kepastian hukum yang mengamankan hak eksklusifnya. Selanjutnya, implementasi praktis perlindungan preventif ini juga memerlukan peningkatan kualitas sumber daya manusia di lembaga terkait, serta penguasaan bahasa asing dan penerapan teknologi guna meminimalisir peluang terjadinya pelanggaran hak merek.</w:t>
      </w:r>
    </w:p>
    <w:p w:rsidR="00000000" w:rsidDel="00000000" w:rsidP="00000000" w:rsidRDefault="00000000" w:rsidRPr="00000000" w14:paraId="0000002F">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0">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1">
      <w:pPr>
        <w:ind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Dwi Putranto, R., &amp; Harvelian, A. (2023). Group Counseling as an Effort to Improve Effectiveness Implementation of Correction Client Personality Guidance (Case Study at West Jakarta Class 1 Penitentiary). </w:t>
      </w:r>
      <w:r w:rsidDel="00000000" w:rsidR="00000000" w:rsidRPr="00000000">
        <w:rPr>
          <w:rFonts w:ascii="Times New Roman" w:cs="Times New Roman" w:eastAsia="Times New Roman" w:hAnsi="Times New Roman"/>
          <w:i w:val="1"/>
          <w:rtl w:val="0"/>
        </w:rPr>
        <w:t xml:space="preserve">POSTULAT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(1), 1–7. https://doi.org/10.37010/postulat.v1i1.1137</w:t>
      </w:r>
      <w:r w:rsidDel="00000000" w:rsidR="00000000" w:rsidRPr="00000000">
        <w:rPr>
          <w:rtl w:val="0"/>
        </w:rPr>
      </w:r>
    </w:p>
    <w:p w:rsidR="00000000" w:rsidDel="00000000" w:rsidP="00000000" w:rsidRDefault="00000000" w:rsidRPr="00000000" w14:paraId="00000032">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Fakhlur, F., &amp; Fauzi, S. R. (2023). Ketentuan Hukum Tentang Pembajakan Film dalam Perspektif Hak Cipta Di Indonesia. </w:t>
      </w:r>
      <w:r w:rsidDel="00000000" w:rsidR="00000000" w:rsidRPr="00000000">
        <w:rPr>
          <w:rFonts w:ascii="Times New Roman" w:cs="Times New Roman" w:eastAsia="Times New Roman" w:hAnsi="Times New Roman"/>
          <w:i w:val="1"/>
          <w:rtl w:val="0"/>
        </w:rPr>
        <w:t xml:space="preserve">POSTULAT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rtl w:val="0"/>
        </w:rPr>
        <w:t xml:space="preserve">(2), 57–61. https://doi.org/10.37010/postulat.v1i2.1217</w:t>
      </w:r>
    </w:p>
    <w:p w:rsidR="00000000" w:rsidDel="00000000" w:rsidP="00000000" w:rsidRDefault="00000000" w:rsidRPr="00000000" w14:paraId="00000033">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Hertati Gultom Abstrak, M. (2018). </w:t>
      </w:r>
      <w:r w:rsidDel="00000000" w:rsidR="00000000" w:rsidRPr="00000000">
        <w:rPr>
          <w:rFonts w:ascii="Times New Roman" w:cs="Times New Roman" w:eastAsia="Times New Roman" w:hAnsi="Times New Roman"/>
          <w:i w:val="1"/>
          <w:rtl w:val="0"/>
        </w:rPr>
        <w:t xml:space="preserve">PERLINDUNGAN HUKUM BAGI PEMEGANG HAK MEREK TERDAFTAR TERHADAP PELANGGARAN MEREK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Nurcahya Dwi Putra Alumni Fakultas Hukum Untag Surabaya, F. (2014). </w:t>
      </w:r>
      <w:r w:rsidDel="00000000" w:rsidR="00000000" w:rsidRPr="00000000">
        <w:rPr>
          <w:rFonts w:ascii="Times New Roman" w:cs="Times New Roman" w:eastAsia="Times New Roman" w:hAnsi="Times New Roman"/>
          <w:i w:val="1"/>
          <w:rtl w:val="0"/>
        </w:rPr>
        <w:t xml:space="preserve">PERLINDUNGAN HUKUM BAGI PEMEGANG HAK ATAS MEREK TERHADAP PERBUATAN PELANGGARAN MEREK</w:t>
      </w:r>
      <w:r w:rsidDel="00000000" w:rsidR="00000000" w:rsidRPr="00000000">
        <w:rPr>
          <w:rFonts w:ascii="Times New Roman" w:cs="Times New Roman" w:eastAsia="Times New Roman" w:hAnsi="Times New Roman"/>
          <w:rtl w:val="0"/>
        </w:rPr>
        <w:t xml:space="preserve">. 97–108.</w:t>
      </w:r>
    </w:p>
    <w:p w:rsidR="00000000" w:rsidDel="00000000" w:rsidP="00000000" w:rsidRDefault="00000000" w:rsidRPr="00000000" w14:paraId="00000035">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PERLINDUNGAN HUKUM TERHADAP MEREK (TINJAUAN TERHADAP MEREK DAGANG TUPPERWARE VERSUS TULIPWARE)</w:t>
      </w:r>
      <w:r w:rsidDel="00000000" w:rsidR="00000000" w:rsidRPr="00000000">
        <w:rPr>
          <w:rFonts w:ascii="Times New Roman" w:cs="Times New Roman" w:eastAsia="Times New Roman" w:hAnsi="Times New Roman"/>
          <w:rtl w:val="0"/>
        </w:rPr>
        <w:t xml:space="preserve">. (n.d.).</w:t>
      </w:r>
    </w:p>
    <w:p w:rsidR="00000000" w:rsidDel="00000000" w:rsidP="00000000" w:rsidRDefault="00000000" w:rsidRPr="00000000" w14:paraId="00000036">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Pidana, P., Kepolisian, A., Melakukan, Y., Terhadap, K., Dames Lewansorna, D., Rina, E., Toule, M., &amp; Sopacua, M. (2022). </w:t>
      </w:r>
      <w:r w:rsidDel="00000000" w:rsidR="00000000" w:rsidRPr="00000000">
        <w:rPr>
          <w:rFonts w:ascii="Times New Roman" w:cs="Times New Roman" w:eastAsia="Times New Roman" w:hAnsi="Times New Roman"/>
          <w:i w:val="1"/>
          <w:rtl w:val="0"/>
        </w:rPr>
        <w:t xml:space="preserve">79 Lisensi Creative Commons Atribusi-NonCommercial 4.0 Internasional</w:t>
      </w:r>
      <w:r w:rsidDel="00000000" w:rsidR="00000000" w:rsidRPr="00000000">
        <w:rPr>
          <w:rFonts w:ascii="Times New Roman" w:cs="Times New Roman" w:eastAsia="Times New Roman" w:hAnsi="Times New Roman"/>
          <w:rtl w:val="0"/>
        </w:rPr>
        <w:t xml:space="preserve"> (Vol. 2, Issue 1).</w:t>
      </w:r>
    </w:p>
    <w:p w:rsidR="00000000" w:rsidDel="00000000" w:rsidP="00000000" w:rsidRDefault="00000000" w:rsidRPr="00000000" w14:paraId="00000037">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Santoso, E., Pembinaan, B., &amp; Daya Manusia, S. (2016). </w:t>
      </w:r>
      <w:r w:rsidDel="00000000" w:rsidR="00000000" w:rsidRPr="00000000">
        <w:rPr>
          <w:rFonts w:ascii="Times New Roman" w:cs="Times New Roman" w:eastAsia="Times New Roman" w:hAnsi="Times New Roman"/>
          <w:i w:val="1"/>
          <w:rtl w:val="0"/>
        </w:rPr>
        <w:t xml:space="preserve">Penegakan Hukum Terhadap Pelanggaran Merek Dagang Terkenal Melalui Peran Kepabeanan</w:t>
      </w:r>
      <w:r w:rsidDel="00000000" w:rsidR="00000000" w:rsidRPr="00000000">
        <w:rPr>
          <w:rFonts w:ascii="Times New Roman" w:cs="Times New Roman" w:eastAsia="Times New Roman" w:hAnsi="Times New Roman"/>
          <w:rtl w:val="0"/>
        </w:rPr>
        <w:t xml:space="preserve"> (Vol. 5, Issue 1). www.wipo.int/about-wipo/en/index.html,</w:t>
      </w:r>
    </w:p>
    <w:p w:rsidR="00000000" w:rsidDel="00000000" w:rsidP="00000000" w:rsidRDefault="00000000" w:rsidRPr="00000000" w14:paraId="00000038">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Seno Wijanarko, D., &amp; Pribadi, S. (n.d.). Perlindungan Hukum Preventif terhadap Merek Dagang di Indonesia Berdasarkan Undang-Undang Nomor 20 Tahun 2016 tentang Merek dan Indikasi Geografis. In </w:t>
      </w:r>
      <w:r w:rsidDel="00000000" w:rsidR="00000000" w:rsidRPr="00000000">
        <w:rPr>
          <w:rFonts w:ascii="Times New Roman" w:cs="Times New Roman" w:eastAsia="Times New Roman" w:hAnsi="Times New Roman"/>
          <w:i w:val="1"/>
          <w:rtl w:val="0"/>
        </w:rPr>
        <w:t xml:space="preserve">Jurnal Penelitian Universitas Kuningan</w:t>
      </w:r>
      <w:r w:rsidDel="00000000" w:rsidR="00000000" w:rsidRPr="00000000">
        <w:rPr>
          <w:rFonts w:ascii="Times New Roman" w:cs="Times New Roman" w:eastAsia="Times New Roman" w:hAnsi="Times New Roman"/>
          <w:rtl w:val="0"/>
        </w:rPr>
        <w:t xml:space="preserve"> (Vol. 13).</w:t>
      </w:r>
    </w:p>
    <w:p w:rsidR="00000000" w:rsidDel="00000000" w:rsidP="00000000" w:rsidRDefault="00000000" w:rsidRPr="00000000" w14:paraId="00000039">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Sheilindry, I. (2021). Perlindungan Hak Kekayaan Intelektual Dalam Kontrak Bisnis Elektronik Atas Pemegang Hak Merek Dagang. </w:t>
      </w:r>
      <w:r w:rsidDel="00000000" w:rsidR="00000000" w:rsidRPr="00000000">
        <w:rPr>
          <w:rFonts w:ascii="Times New Roman" w:cs="Times New Roman" w:eastAsia="Times New Roman" w:hAnsi="Times New Roman"/>
          <w:i w:val="1"/>
          <w:rtl w:val="0"/>
        </w:rPr>
        <w:t xml:space="preserve">Simbur Cahaya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28</w:t>
      </w:r>
      <w:r w:rsidDel="00000000" w:rsidR="00000000" w:rsidRPr="00000000">
        <w:rPr>
          <w:rFonts w:ascii="Times New Roman" w:cs="Times New Roman" w:eastAsia="Times New Roman" w:hAnsi="Times New Roman"/>
          <w:rtl w:val="0"/>
        </w:rPr>
        <w:t xml:space="preserve">(2), 282. https://doi.org/10.28946/sc.v28i2.1317</w:t>
      </w:r>
    </w:p>
    <w:p w:rsidR="00000000" w:rsidDel="00000000" w:rsidP="00000000" w:rsidRDefault="00000000" w:rsidRPr="00000000" w14:paraId="0000003A">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Sukro, A. Y. (n.d.). </w:t>
      </w:r>
      <w:r w:rsidDel="00000000" w:rsidR="00000000" w:rsidRPr="00000000">
        <w:rPr>
          <w:rFonts w:ascii="Times New Roman" w:cs="Times New Roman" w:eastAsia="Times New Roman" w:hAnsi="Times New Roman"/>
          <w:i w:val="1"/>
          <w:rtl w:val="0"/>
        </w:rPr>
        <w:t xml:space="preserve">PERLINDUNGAN HUKUM TERHADAP MEREK DAGANG TERKENAL ATAS TINDAKAN PASSING OFF PADA PRAKTEK PERSAINGAN USAHA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B">
      <w:pPr>
        <w:ind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Yuridis, A., Pelanggaran, T., &amp; Irawan, V. (2020). ANALISIS YURIDIS TERHADAP PELANGGARAN HAK CIPTA PERMAINAN VIDEO (VIDEO GAMES) BERUPA PEMBAJAKAN SECARA ONLINE. In </w:t>
      </w:r>
      <w:r w:rsidDel="00000000" w:rsidR="00000000" w:rsidRPr="00000000">
        <w:rPr>
          <w:rFonts w:ascii="Times New Roman" w:cs="Times New Roman" w:eastAsia="Times New Roman" w:hAnsi="Times New Roman"/>
          <w:i w:val="1"/>
          <w:rtl w:val="0"/>
        </w:rPr>
        <w:t xml:space="preserve">Journal of Intellectual Property</w:t>
      </w:r>
      <w:r w:rsidDel="00000000" w:rsidR="00000000" w:rsidRPr="00000000">
        <w:rPr>
          <w:rFonts w:ascii="Times New Roman" w:cs="Times New Roman" w:eastAsia="Times New Roman" w:hAnsi="Times New Roman"/>
          <w:rtl w:val="0"/>
        </w:rPr>
        <w:t xml:space="preserve"> (Vol. 3, Issue 2). www.journal.uii.ac.id/JIPRO</w:t>
      </w:r>
    </w:p>
    <w:p w:rsidR="00000000" w:rsidDel="00000000" w:rsidP="00000000" w:rsidRDefault="00000000" w:rsidRPr="00000000" w14:paraId="0000003C">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D">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0" w:date="2023-10-10T03:21:01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penulisan judul diperjelas menjadi Undang-Undang Nomor 20 Tahun 2016 tentang Merek dan Indikasi Geografis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E73A5D"/>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m1vS9ryvzUF5KbA8PODqft9gmA==">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2023-08-28T04:17:00Z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efbae7b9b55a39bf8a8fd6488321b1575285e6e3d0f791d437247f1f3abf6b65</vt:lpwstr>
  </property>
  <property fmtid="{D5CDD505-2E9C-101B-9397-08002B2CF9AE}" pid="3" name="GrammarlyDocumentId">
    <vt:lpwstr>efbae7b9b55a39bf8a8fd6488321b1575285e6e3d0f791d437247f1f3abf6b65</vt:lpwstr>
  </property>
</Properties>
</file>