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Analysis of Information Technology Crimes and Electronic Transactions</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Analisis Terhadap Tindak Pidana Teknologi Informasi dan Transaksi Elektronik</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Rendi Ebenezer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In the context of advances in information technology, analysis of criminal acts in cyberspace becomes crucial. This article evaluates the effectiveness of the Information and Electronic Transactions Law (UU ITE) in responding to current technological challenges and analyzes the role of international collaboration, community involvement, and recommendations for legal improvements to strengthen law enforcement against information technology crimes in Indonesia.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study uses a qualitative approach with a focus on normative legal methods and literature analysis to explore related regulations and legislation. Data sources include formal government documents, scientific publications, and legal literature, which are analyzed to support evaluation of the existing legal framework.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Analysis shows that the ITE Law needs to be adapted to technological developments and support community legal education initiatives. The role of international cooperation is key in dealing with cross-border cybercrime. Increasing public understanding of the law and implementing recommendations for improvement can increase the effectiveness of law enforcement against information technology crimes in Indonesia.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Keywords: Information Technology, ITE Law, Cyber Crime, International Collaboration, Legal Education.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Dalam konteks kemajuan teknologi informasi, analisis terhadap tindak pidana di dunia maya menjadi krusial. Artikel ini mengevaluasi efektivitas Undang-Undang Informasi dan Transaksi Elektronik (UU ITE) dalam menanggapi tantangan teknologi terkini dan menganalisis peran kolaborasi internasional, keterlibatan masyarakat, serta rekomendasi perbaikan hukum untuk memperkuat penegakan hukum terhadap kejahatan teknologi informasi di Indonesia.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Studi ini menggunakan pendekatan kualitatif dengan fokus pada metode hukum normatif dan analisis literatur untuk mengeksplorasi peraturan dan legislasi terkait. Sumber data mencakup dokumen formal pemerintah, publikasi ilmiah, dan literatur hukum, yang dianalisis untuk mendukung evaluasi terhadap kerangka hukum yang ada.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Analisis menunjukkan bahwa UU ITE perlu disesuaikan dengan perkembangan teknologi dan mendukung inisiatif pendidikan hukum masyarakat. Peran kerjasama internasional menjadi kunci dalam menangani kejahatan siber lintas batas. Peningkatan pemahaman masyarakat terhadap hukum dan implementasi rekomendasi perbaikan dapat meningkatkan efektivitas penegakan hukum terhadap tindak pidana teknologi informasi di Indonesia.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Kata Kunci: Teknologi Informasi, UU ITE, Kejahatan Siber, Kolaborasi Internasional, Pendidikan Hukum.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9">
      <w:pPr>
        <w:spacing w:line="360" w:lineRule="auto"/>
        <w:ind w:left="0" w:firstLine="720"/>
        <w:jc w:val="both"/>
        <w:rPr/>
      </w:pPr>
      <w:r w:rsidDel="00000000" w:rsidR="00000000" w:rsidRPr="00000000">
        <w:rPr>
          <w:rtl w:val="0"/>
        </w:rPr>
        <w:t xml:space="preserve">Kemajuan suatu negara dapat tercermin melalui tingkat kesadaran hukum yang dimiliki oleh penduduknya. Semakin tinggi kesadaran hukum suatu bangsa, maka kehidupan bermasyarakat dan bernegara akan menjadi lebih teratur. Sebaliknya, rendahnya kesadaran hukum masyarakat suatu negara dapat mengakibatkan penerapan hukum rimba. Indonesia, sebagai negara hukum, mengakui bahwa kehidupan dalam masyarakat terikat oleh berbagai aturan, baik yang tercantum secara tertulis maupun yang bersifat tidak tertulis. Ketaatan penuh terhadap aturan-aturan tersebut dianggap sebagai landasan penting untuk menciptakan kemakmuran dan keadilan di tengah-tengah masyarakat. Pelanggaran terhadap aturan-aturan tersebut akan mengakibatkan pemberian sanksi yang tegas sebagai bentuk penegakan hukum yang berlaku (Putra, 2019).</w:t>
      </w:r>
    </w:p>
    <w:p w:rsidR="00000000" w:rsidDel="00000000" w:rsidP="00000000" w:rsidRDefault="00000000" w:rsidRPr="00000000" w14:paraId="0000001A">
      <w:pPr>
        <w:spacing w:line="360" w:lineRule="auto"/>
        <w:ind w:left="0" w:firstLine="720"/>
        <w:jc w:val="both"/>
        <w:rPr/>
      </w:pPr>
      <w:r w:rsidDel="00000000" w:rsidR="00000000" w:rsidRPr="00000000">
        <w:rPr>
          <w:rtl w:val="0"/>
        </w:rPr>
        <w:t xml:space="preserve">Kemajuan teknologi komputer yang terintegrasi dengan dunia cyber, khususnya internet, telah membawa kemudahan yang tidak dapat disangkal dalam interaksi antar individu di dalam suatu negara bahkan di seluruh dunia. Fenomena ini dapat diibaratkan sebagai suatu jaringan global yang memfasilitasi komunikasi dan interaksi antar manusia lintas benua melalui layar-layar mini datar. Inilah yang kemudian dikenal dengan istilah "the world is flat" yang mengabaikan pandangan tradisional bahwa bumi berbentuk bulat. Setiap orang di berbagai penjuru dunia, asalkan memiliki perangkat terhubung internet, dapat mengakses dan memperoleh informasi yang mereka butuhkan di dalam dunia cyber.</w:t>
      </w:r>
    </w:p>
    <w:p w:rsidR="00000000" w:rsidDel="00000000" w:rsidP="00000000" w:rsidRDefault="00000000" w:rsidRPr="00000000" w14:paraId="0000001B">
      <w:pPr>
        <w:spacing w:line="360" w:lineRule="auto"/>
        <w:ind w:left="0" w:firstLine="720"/>
        <w:jc w:val="both"/>
        <w:rPr/>
      </w:pPr>
      <w:r w:rsidDel="00000000" w:rsidR="00000000" w:rsidRPr="00000000">
        <w:rPr>
          <w:rtl w:val="0"/>
        </w:rPr>
        <w:t xml:space="preserve">Secara spesifik, perkembangan teknologi komputer dan internet berdampak signifikan pada pengaturan dan pembentukan regulasi di ranah cyber dan hukum cyber, serta mempengaruhi perkembangan kejahatan di dalam dunia maya yang sering disebut sebagai cybercrimes. Perlu dicatat bahwa internet awalnya tidak dirancang untuk melacak perilaku pengguna, melainkan untuk keperluan militer selama perang dunia pada saat itu (Setiawan &amp; Arista, 2013).</w:t>
      </w:r>
    </w:p>
    <w:p w:rsidR="00000000" w:rsidDel="00000000" w:rsidP="00000000" w:rsidRDefault="00000000" w:rsidRPr="00000000" w14:paraId="0000001C">
      <w:pPr>
        <w:spacing w:line="360" w:lineRule="auto"/>
        <w:ind w:left="0" w:firstLine="720"/>
        <w:jc w:val="both"/>
        <w:rPr/>
      </w:pPr>
      <w:r w:rsidDel="00000000" w:rsidR="00000000" w:rsidRPr="00000000">
        <w:rPr>
          <w:rtl w:val="0"/>
        </w:rPr>
        <w:t xml:space="preserve">Pada awalnya, kejahatan siber didefinisikan sebagai kejahatan komputer. Meskipun definisi kejahatan komputer masih menjadi perdebatan di kalangan sarjana hingga saat ini, dan istilah yang digunakan untuk merujuk pada kejahatan komputer dalam bahasa Inggris masih bervariasi, pada masa tersebut para akademisi umumnya menggunakan istilah "computer crime" karena dianggap lebih inklusif dan umum digunakan dalam konteks internasional. Era globalisasi telah memajukan teknologi informasi, memicu munculnya berbagai bentuk kejahatan modern yang memiliki dampak lebih besar dibanding kejahatan konvensional. Kejahatan ini ditandai dengan karakteristik seperti pelaku yang dapat berasal dari berbagai lapisan masyarakat (baik berpendidikan maupun tidak), menggunakan alat yang sederhana, dan tidak memerlukan keahlian khusus.</w:t>
      </w:r>
    </w:p>
    <w:p w:rsidR="00000000" w:rsidDel="00000000" w:rsidP="00000000" w:rsidRDefault="00000000" w:rsidRPr="00000000" w14:paraId="0000001D">
      <w:pPr>
        <w:spacing w:line="360" w:lineRule="auto"/>
        <w:ind w:left="0" w:firstLine="720"/>
        <w:jc w:val="both"/>
        <w:rPr/>
      </w:pPr>
      <w:r w:rsidDel="00000000" w:rsidR="00000000" w:rsidRPr="00000000">
        <w:rPr>
          <w:rtl w:val="0"/>
        </w:rPr>
        <w:t xml:space="preserve">Kejahatan di bidang teknologi informasi dapat dikategorikan sebagai white collar crime karena dilakukan oleh individu yang memiliki keahlian dalam penggunaan internet dan aplikasi yang terkait atau ahli di bidangnya. Selain itu, kejahatan ini sering kali melibatkan aktivitas transnasional atau melintasi batas negara, menciptakan dua ciri utama, yaitu white collar crime dan transnational crime. Penggunaan istilah "modern" di sini merujuk pada tingkat kecanggihan kejahatan tersebut, yang juga tercermin dalam metode penyelidikan yang canggih untuk mengungkapnya (Dermawan &amp; Akmal, 2019).</w:t>
      </w:r>
    </w:p>
    <w:p w:rsidR="00000000" w:rsidDel="00000000" w:rsidP="00000000" w:rsidRDefault="00000000" w:rsidRPr="00000000" w14:paraId="0000001E">
      <w:pPr>
        <w:spacing w:line="360" w:lineRule="auto"/>
        <w:ind w:left="0" w:firstLine="720"/>
        <w:jc w:val="both"/>
        <w:rPr/>
      </w:pPr>
      <w:r w:rsidDel="00000000" w:rsidR="00000000" w:rsidRPr="00000000">
        <w:rPr>
          <w:rtl w:val="0"/>
        </w:rPr>
        <w:t xml:space="preserve">Berdasarkan Penjelasan Atas Undang Undang Nomor 19 Tahun 2016 Tentang Perubahan Atas Undang-Undang Nomor 11 Tahun 2008 Tentang Informasi Dan Transaksi Elektronik, disebutkan bahwa kebebasan menyatakan pikiran, hak berpendapat, dan hak memperoleh informasi melalui teknologi informasi dan komunikasi bertujuan untuk meningkatkan kesejahteraan umum, memberikan pendidikan kepada masyarakat, serta memberikan rasa aman, keadilan, dan kepastian hukum kepada pengguna dan Penyelenggara Sistem Elektronik. Dampak positif dari perkembangan teknologi informasi dapat dirasakan oleh masyarakat dalam bentuk bantuan mobilitas yang diperlukan dalam kegiatan yang padat, serta memfasilitasi interaksi antarindividu tanpa batasan geografis. Harapan dari berbagai kemudahan ini adalah terwujudnya kemajuan, kesejahteraan, dan kebaikan bagi masyarakat Indonesia. Prinsip ini sejalan dengan ketentuan UUD 1945 Pasal 28F yang menyatakan bahwa setiap individu berhak berkomunikasi, memperoleh informasi untuk pengembangan diri dan lingkungan sosialnya, dan memiliki hak untuk mencari, memperoleh, memiliki, menyimpan, mengolah, dan menyampaikan informasi menggunakan segala jenis saluran yang tersedia (Moniaga et al., 2023).</w:t>
      </w:r>
    </w:p>
    <w:p w:rsidR="00000000" w:rsidDel="00000000" w:rsidP="00000000" w:rsidRDefault="00000000" w:rsidRPr="00000000" w14:paraId="0000001F">
      <w:pPr>
        <w:spacing w:line="360" w:lineRule="auto"/>
        <w:ind w:left="0" w:firstLine="720"/>
        <w:jc w:val="both"/>
        <w:rPr/>
      </w:pPr>
      <w:r w:rsidDel="00000000" w:rsidR="00000000" w:rsidRPr="00000000">
        <w:rPr>
          <w:rtl w:val="0"/>
        </w:rPr>
        <w:t xml:space="preserve">Seperti yang dijelaskan dalam Undang-Undang Dasar Negara Republik Indonesia tahun 1945, setiap warga negara memiliki hak dan kedudukan yang sama di dalam hukum dan pemerintahan. Hak tersebut juga telah dijamin oleh Undang-Undang No 19 Tahun 2016 tentang Informasi dan Transaksi Elektronik. Penjelasan dalam Undang-Undang No 19 Tahun 2016 tentang Informasi dan Transaksi Elektronik menyatakan bahwa hak memperoleh informasi melalui penggunaan dan pemanfaatan Teknologi Informasi dan Komunikasi bertujuan untuk meningkatkan kesejahteraan umum, mencerdaskan kehidupan bangsa, serta memberikan rasa aman, keadilan, dan kepastian hukum bagi pengguna dan Penyelenggara Sistem Elektronik.</w:t>
      </w:r>
    </w:p>
    <w:p w:rsidR="00000000" w:rsidDel="00000000" w:rsidP="00000000" w:rsidRDefault="00000000" w:rsidRPr="00000000" w14:paraId="00000020">
      <w:pPr>
        <w:spacing w:line="360" w:lineRule="auto"/>
        <w:ind w:left="0" w:firstLine="720"/>
        <w:jc w:val="both"/>
        <w:rPr/>
      </w:pPr>
      <w:r w:rsidDel="00000000" w:rsidR="00000000" w:rsidRPr="00000000">
        <w:rPr>
          <w:rtl w:val="0"/>
        </w:rPr>
        <w:t xml:space="preserve">Dalam konteks kehidupan bersama dalam masyarakat, bangsa, dan negara, penggunaan dan pemanfaatan Teknologi Informasi tersebut harus memperhatikan pembatasan yang ditetapkan oleh undang-undang, dengan tujuan utama untuk menjamin pengakuan dan penghormatan terhadap hak dan kebebasan orang lain serta untuk memenuhi tuntutan yang adil sesuai dengan pertimbangan moral, nilai-nilai agama, keamanan, dan ketertiban umum dalam masyarakat demokratis. Sebagai negara hukum, sesuai dengan Pasal 1 ayat (3) UUD 1945, setiap aspek kehidupan bersama dalam masyarakat, bangsa, dan negara diatur berdasarkan hukum. Dalam proses pembentukan peraturan perundang-undangan, produk hukum seperti peraturan perundang-undangan berfungsi sebagai pedoman hukum dan menjadi instrumen pelaksanaan prinsip Indonesia sebagai negara hukum. Prinsip ini juga dijamin oleh Undang-Undang No 19 Tahun 2016 tentang Informasi dan Transaksi Elektronik (Junaidi et al., 2020).</w:t>
      </w:r>
    </w:p>
    <w:p w:rsidR="00000000" w:rsidDel="00000000" w:rsidP="00000000" w:rsidRDefault="00000000" w:rsidRPr="00000000" w14:paraId="00000021">
      <w:pPr>
        <w:spacing w:line="360" w:lineRule="auto"/>
        <w:ind w:left="0" w:firstLine="720"/>
        <w:jc w:val="both"/>
        <w:rPr/>
      </w:pPr>
      <w:r w:rsidDel="00000000" w:rsidR="00000000" w:rsidRPr="00000000">
        <w:rPr>
          <w:rtl w:val="0"/>
        </w:rPr>
        <w:t xml:space="preserve">Menurut Barda Nawawi Arief, kebijakan kriminalisasi merupakan suatu pendekatan dalam menetapkan perbuatan yang awalnya bukan tindak pidana (tidak dipidana) menjadi tindak pidana (dapat dipidana). Dengan demikian, pada intinya, kebijakan kriminalisasi terhadap tindak pidana di bidang teknologi informasi merupakan bagian dari kebijakan kriminal (criminal policy) yang menggunakan alat hukum pidana (penal). Oleh karena itu, hal ini termasuk dalam domain "kebijakan hukum pidana" (penal policy), terutama dalam formulasi kebijakan tersebut.</w:t>
      </w:r>
    </w:p>
    <w:p w:rsidR="00000000" w:rsidDel="00000000" w:rsidP="00000000" w:rsidRDefault="00000000" w:rsidRPr="00000000" w14:paraId="00000022">
      <w:pPr>
        <w:spacing w:line="360" w:lineRule="auto"/>
        <w:ind w:left="0" w:firstLine="720"/>
        <w:jc w:val="both"/>
        <w:rPr/>
      </w:pPr>
      <w:r w:rsidDel="00000000" w:rsidR="00000000" w:rsidRPr="00000000">
        <w:rPr>
          <w:rtl w:val="0"/>
        </w:rPr>
        <w:t xml:space="preserve">Lebih lanjut, menurut Barda Nawawi Arief, kebijakan kriminalisasi tidak hanya mencakup penetapan, perumusan, atau formulasi perbuatan yang dapat dipidana (termasuk sanksi pidananya), melainkan juga melibatkan bagaimana kebijakan formulasi/legislasi tersebut diatur secara holistik dalam suatu sistem hukum pidana yang seimbang dan terpadu (kebijakan legislatif) (S. Daud, 2013).</w:t>
      </w:r>
    </w:p>
    <w:p w:rsidR="00000000" w:rsidDel="00000000" w:rsidP="00000000" w:rsidRDefault="00000000" w:rsidRPr="00000000" w14:paraId="00000023">
      <w:pPr>
        <w:spacing w:line="360" w:lineRule="auto"/>
        <w:ind w:left="0" w:firstLine="720"/>
        <w:jc w:val="both"/>
        <w:rPr/>
      </w:pPr>
      <w:r w:rsidDel="00000000" w:rsidR="00000000" w:rsidRPr="00000000">
        <w:rPr>
          <w:rtl w:val="0"/>
        </w:rPr>
        <w:t xml:space="preserve">Pemahaman terhadap filsafat mengindikasikan bahwa produk hukum diciptakan dengan tujuan utama untuk meningkatkan kesejahteraan masyarakat, khususnya dalam menata keteraturan masyarakat. Dalam konteks saat ini, terlihat bahwa interaksi melalui media sosial telah membawa dampak penyimpangan yang merugikan perasaan orang lain. Oleh karena itu, kelahiran Undang-Undang yang berkaitan dengan Informasi dan Transaksi Elektronik diharapkan dapat menciptakan lingkungan yang nyaman bagi masyarakat dalam berinteraksi di dunia maya, terutama melalui media sosial. Namun, pentingnya menjaga etika dalam berinteraksi secara daring tidak boleh diabaikan.</w:t>
      </w:r>
    </w:p>
    <w:p w:rsidR="00000000" w:rsidDel="00000000" w:rsidP="00000000" w:rsidRDefault="00000000" w:rsidRPr="00000000" w14:paraId="00000024">
      <w:pPr>
        <w:spacing w:line="360" w:lineRule="auto"/>
        <w:ind w:left="0" w:firstLine="720"/>
        <w:jc w:val="both"/>
        <w:rPr/>
      </w:pPr>
      <w:r w:rsidDel="00000000" w:rsidR="00000000" w:rsidRPr="00000000">
        <w:rPr>
          <w:rtl w:val="0"/>
        </w:rPr>
        <w:t xml:space="preserve">Walaupun konstitusi dan perundang-undangan menjamin kebebasan berpendapat, perilaku yang menyakiti perasaan orang lain serta tindakan pelanggaran hukum lainnya dalam dunia maya harus dihindari. Hal ini dikarenakan dalam interaksi melalui media sosial, di mana tidak ada pertemuan langsung, seseorang mungkin tidak sepenuhnya memahami makna yang ingin disampaikan oleh orang lain. Oleh karena itu, komentar dalam dunia maya memiliki potensi untuk menimbulkan berbagai penafsiran terhadap suatu ungkapan atau komentar, sehingga dianggap sebagai tindakan yang melanggar hukum atau bahkan merupakan kejahatan. Akibatnya, terjadi peningkatan jumlah kasus pelaporan yang berhubungan dengan Undang-Undang tentang Informasi dan Transaksi Elektronik, dengan masyarakat sebagai korban utamanya (Susanto et al., 2021).</w:t>
      </w:r>
    </w:p>
    <w:p w:rsidR="00000000" w:rsidDel="00000000" w:rsidP="00000000" w:rsidRDefault="00000000" w:rsidRPr="00000000" w14:paraId="00000025">
      <w:pPr>
        <w:spacing w:line="360" w:lineRule="auto"/>
        <w:ind w:left="0" w:firstLine="720"/>
        <w:jc w:val="both"/>
        <w:rPr/>
      </w:pPr>
      <w:r w:rsidDel="00000000" w:rsidR="00000000" w:rsidRPr="00000000">
        <w:rPr>
          <w:rtl w:val="0"/>
        </w:rPr>
      </w:r>
    </w:p>
    <w:p w:rsidR="00000000" w:rsidDel="00000000" w:rsidP="00000000" w:rsidRDefault="00000000" w:rsidRPr="00000000" w14:paraId="00000026">
      <w:pPr>
        <w:spacing w:line="360" w:lineRule="auto"/>
        <w:ind w:left="0" w:firstLine="0"/>
        <w:rPr>
          <w:b w:val="1"/>
        </w:rPr>
      </w:pPr>
      <w:r w:rsidDel="00000000" w:rsidR="00000000" w:rsidRPr="00000000">
        <w:rPr>
          <w:rtl w:val="0"/>
        </w:rPr>
      </w:r>
    </w:p>
    <w:p w:rsidR="00000000" w:rsidDel="00000000" w:rsidP="00000000" w:rsidRDefault="00000000" w:rsidRPr="00000000" w14:paraId="00000027">
      <w:pPr>
        <w:numPr>
          <w:ilvl w:val="0"/>
          <w:numId w:val="2"/>
        </w:numPr>
        <w:spacing w:line="360" w:lineRule="auto"/>
        <w:ind w:left="567"/>
        <w:rPr/>
      </w:pPr>
      <w:r w:rsidDel="00000000" w:rsidR="00000000" w:rsidRPr="00000000">
        <w:rPr>
          <w:b w:val="1"/>
          <w:rtl w:val="0"/>
        </w:rPr>
        <w:t xml:space="preserve">METODE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Analisis Terhadap Tindak Pidana Teknologi Informasi dan Transaksi Elektronik (Lewansorna et al., 2022).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Realitas terkini yang berasal dari konsep tersebut menunjukkan bahwa secara umum masyarakat tidak dapat dilepaskan dari kemajuan teknologi yang mendasari kemudahan mendapatkan informasi dengan cepat. Meskipun awalnya kemajuan ini hanya digerakkan oleh sekelompok orang, namun merupakan bagian dari sistem yang telah diterapkan dalam masyarakat. Oleh karena itu, diperlukan penerapan hukum sebagai pengatur dalam konteks ini. Hukum pada dasarnya berfungsi sebagai regulasi terhadap perilaku individu dan masyarakat yang melakukan pelanggaran, dengan sanksi yang dikenakan oleh negara.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Meskipun lingkungan siber bersifat virtual, keberadaan hukum tetap krusial untuk mengendalikan perilaku masyarakat. Ini diperlukan terutama karena dua alasan. Pertama, masyarakat di dunia maya merupakan perpanjangan dari masyarakat di dunia nyata, dengan nilai dan kepentingan yang perlu dilindungi baik secara individu maupun kolektif. Kedua, transaksi yang terjadi di dunia maya memiliki dampak nyata, baik dari segi ekonomi maupun non-ekonomi. Oleh karena itu, pentingnya regulasi hukum dalam mengatur tindakan masyarakat tetap relevan di era digital ini (Setiawan &amp; Arista, 2013).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Terdapat berbagai implikasi yang dapat dirasakan dengan keberadaan jejaring sosial ini. Dampak positifnya mencakup mempermudah komunikasi masyarakat tanpa terikat waktu dan ruang, memfasilitasi pembentukan persahabatan, memupuk perhatian dan empati di antara pengguna, serta mempermudah pertukaran informasi. Di sisi lain, dampak negatifnya melibatkan pertukaran data berunsur pornografi dan perilaku cabul, tindakan saling hina dan ejek, dan sejumlah masalah lainnya. Oleh karena itu, kemajuan teknologi berpotensi menciptakan berbagai bentuk tindak pidana, di mana internet menjadi medium memudahkan individu untuk terlibat dalam tindak pidana berbasis teknologi informasi, yang dikenal sebagai cybercrime (Moniaga et al., 2023).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Kejahatan dunia maya, atau cyber crime, muncul sejalan dengan pesatnya perkembangan teknologi informasi. Untuk lebih merinci, beberapa pandangan diuraikan di bawah ini mengenai konsep cyber crime. Menurut Kepolisian Inggris, cyber crime merujuk pada segala bentuk penggunaan jaringan komputer untuk kegiatan kriminal dan/atau kejahatan berbasis teknologi tinggi yang menyalahgunakan fasilitas teknologi digital. Indra Safitri menjelaskan bahwa kejahatan dunia maya melibatkan pemanfaatan teknologi informasi tanpa batas, memiliki ciri-ciri kuat dalam rekayasa teknologi, serta bergantung pada tingkat keamanan dan kredibilitas informasi yang diakses dan disampaikan oleh pengguna internet.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konteks ini, hukum dianggap sebagai peraturan terhadap perilaku individu dan masyarakat, di mana pelanggaran akan dikenai sanksi oleh negara. Meskipun lingkungan cyber bersifat virtual, keberadaan hukum tetap esensial untuk mengatur perilaku masyarakat, terutama karena dua faktor. Pertama, masyarakat di dunia maya merupakan perpanjangan dari masyarakat di dunia nyata, dengan nilai dan kepentingan yang harus dilindungi baik secara individu maupun kolektif. Kedua, meskipun transaksi terjadi di dunia maya, dampaknya mencakup dunia nyata, baik dalam aspek ekonomi maupun non-ekonomi (Dermawan &amp; Akmal, 2019).</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Penegak hukum di Indonesia menghadapi kendala dalam mengatasi peningkatan kasus cybercrime. Permasalahan ini timbul karena masih terbatasnya pengetahuan aparat penegak hukum terkait teknologi informasi (internet). Selain itu, aparat penegak hukum di berbagai daerah juga belum siap untuk menghadapi meningkatnya tingkat kejahatan ini, karena masih banyak di antara mereka yang kurang memahami teknologi, atau sering disebut sebagai "gaptek". Situasi ini disebabkan oleh keterbatasan akses internet di sejumlah institusi penegak hukum daerah (S. Daud, 2013).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Meskipun Undang-Undang Informasi dan Transaksi Elektronik (UU ITE) telah diberlakukan di Indonesia, kenyataannya, mengendalikan dunia siber tetap menjadi tantangan, karena cyberspace merupakan lingkungan virtual yang sulit untuk diidentifikasi secara fisik, namun dapat diakses oleh jutaan pengguna di seluruh dunia setiap saat. Karakteristik ini memberikan dampak terhadap penerapan UU ITE, karena tindak pidana siber seringkali melibatkan lintas negara, menimbulkan pertanyaan tentang yurisdiksi yang berlaku terhadap perbuatan atau konsekuensi tindak pidana serta pelakunya. Kendala ini muncul karena perundang-undangan konvensional di Indonesia dianggap kurang mampu mengatasi masalah ini, mendorong perlunya penyesuaian hukum untuk melindungi kedaulatan dan kepentingan negara serta warganya.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Prinsip-prinsip hukum pidana Indonesia, yang tercantum dalam Kitab Undang-Undang Hukum Pidana (KUHP), didasarkan pada prinsip-prinsip yang berlaku secara internasional, seperti asas teritorialitas, asas nasionalitas aktif, dan asas nasionalitas pasif. Dalam KUHP, asas teritorial dijelaskan dalam Pasal 2 KUHP, sementara perluasan asas tersebut diatur dalam Pasal 3 KUHP. Namun, dalam kenyataannya, kasus kejahatan informasi dan transaksi elektronik menimbulkan beberapa tantangan dalam penegakan hukum, terutama ketika melibatkan warga negara atau badan hukum asing yang melakukan kejahatan di luar wilayah Indonesia namun memiliki konsekuensi hukum di dalamnya. Sebagai solusi yang efektif, ditekankan perlunya kerjasama (mutual assistance) antara aparat hukum Indonesia dengan aparat penegak hukum negara lain untuk mengungkap tindak pidana tersebut. Namun, penting bahwa kerjasama ini disertai dengan justifikasi sesuai dengan peraturan perundang-undangan di Indonesia. Oleh karena itu, banyak negara memperkenalkan prinsip-prinsip tambahan, seperti asas ekstrateritorialitas, agar perundang-undangan pidana tetap relevan dalam situasi-situasi yang tidak dapat diatasi dengan asas teritorialitas, terutama dalam situasi seperti yang telah dijelaskan (Setiawan &amp; Arista, 2013).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Dari uraian tersebut, dapat disimpulkan bahwa Undang-Undang Informasi dan Transaksi Elektronik (UU ITE) menganut prinsip yurisdiksi ekstrateritorial. Konsep ini tercermin dalam Pasal 2 UU ITE. UU ITE berlaku untuk siapa pun yang melakukan tindakan yang bertentangan dengan ketentuan UU ITE, baik berada di dalam wilayah hukum Indonesia maupun di luar wilayah hukum Indonesia, asalkan tindakan tersebut memiliki konsekuensi hukum di dalam atau di luar wilayah Indonesia dan merugikan kepentingan Indonesia. Penegakan hukum merupakan tindakan penerapan norma hukum terhadap individu yang melakukan pelanggaran terhadap norma hukum, sehingga hukum diterapkan secara merata dan sesuai dengan prosedur dalam sistem penegakan hukum yang telah ditetapkan.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Dengan kata lain, penegakan hukum adalah suatu upaya untuk menjaga dan mengawasi agar hukum tetap berlaku sebagai norma yang mengatur kehidupan manusia, guna mencapai ketertiban, keamanan, dan ketentraman masyarakat dalam menjalani kehidupannya. Dalam konteks proses penegakan hukum, negara memegang peran penting sebagai entitas yang bertanggung jawab atas komitmen bersama sebagai negara berdasarkan hukum. Oleh karena itu, negara memiliki tanggung jawab terhadap ketertiban, keamanan, dan ketentraman warganya, yang merupakan tugas dan kewenangan utama dan tradisional dari pemerintah atau negara, yang kemudian dapat didelegasikan kepada lembaga-lembaga hukum (Moniaga et al., 2023).</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upaya penegakan Undang-Undang Informasi dan Transaksi Elektronik (UU ITE) di Indonesia, pemerintah mengadopsi beberapa pendekatan, baik secara preventif maupun represif. Pendekatan preventif melibatkan upaya memberikan pemahaman kepada masyarakat tentang UU ITE, sehingga mereka tidak terjerat oleh ketentuan yang tajam dalam UU tersebut. Sementara itu, pendekatan represif dilakukan melalui implementasi UU ITE, khususnya terkait dengan pencemaran nama baik, konten pornografi, SARA, dan berita bohong. Sebelum melakukan penegakan hukum secara represif, pemerintah dan aparat penegak hukum diharapkan aktif dalam mensosialisasikan UU ITE kepada masyarakat, sebagai langkah pencegahan agar mereka tidak mudah terlibat dalam pelanggaran UU ITE.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Mengingat rentannya penyalahgunaan UU ITE oleh pejabat negara melalui Aparat Penegak Hukum (APH) pemerintah, yang melibatkan Kepolisian Republik Indonesia, Jaksa Agung, dan Menteri Komunikasi dan Informatika Republik Indonesia, pemerintah mengeluarkan Surat Kesepakatan atau Surat Keputusan Bersama (SKB). SKB ini bertujuan untuk menyamakan persepsi dalam penerapan dan penegakan pasal-pasal pidana yang terdapat dalam UU ITE. Pasal-pasal yang menjadi fokus SKB mencakup pasal 27 ayat 1, pasal 27 ayat 2, pasal 27 ayat 3, pasal 27 ayat 4, pasal 28 ayat 1, pasal 28 ayat 2, pasal 29, dan pasal 36.40. Pasal-pasal ini memang kerap menimbulkan kesulitan bagi masyarakat, terutama mereka yang memiliki keterbatasan relasi kekuasaan. Melalui penerbitan SKB ini, diharapkan dapat mengurangi penyalahgunaan pasal-pasal yang memiliki potensi menghambat demokrasi di Indonesia. Perlu dicatat bahwa penerbitan SKB ini muncul sebagai respons terhadap desakan luas dari masyarakat, dan merupakan upaya politik hukum untuk memberikan rasa aman dan ketertiban kepada masyarakat melalui regulasi yang dikeluarkan oleh pemerintah (Susanto et al., 2021).</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analisis tindak pidana teknologi informasi dan transaksi elektronik, terungkap kompleksitas tantangan yang melibatkan hubungan antara hukum dan perkembangan teknologi. Regulasi, seperti Undang-Undang Informasi dan Transaksi Elektronik (UU ITE), memainkan peran sentral dalam mengendalikan perilaku di dunia maya, tetapi penegakan hukum perlu diimbangi dengan keberlanjutan hak asasi individu.</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Pentingnya kerjasama internasional juga muncul sebagai elemen utama dalam mengatasi kejahatan siber yang melintasi batas negara. Kesadaran hukum dan edukasi masyarakat menjadi kunci dalam mencegah tindakan kriminal, namun harus diimbangi dengan perlindungan terhadap hak asasi dan kebebasan berekspresi.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Tantangan teknologi menyoroti perlunya peningkatan kapasitas aparat penegak hukum dalam memahami dan menangani kasus-kasus di dunia maya. Kerjasama antarlembaga, seperti kepolisian, jaksa, dan kementerian, menjadi esensial untuk memastikan penegakan hukum yang konsisten dan responsif terhadap perkembangan teknologi.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Pentingnya respons yang cepat dan pembaharuan regulasi menjadi tema penting, mengingat ancaman kejahatan siber yang terus berkembang. Pemerintah perlu menjadi proaktif dalam mengidentifikasi dan menanggapi ancaman baru di dunia maya, sambil memastikan bahwa perubahan-perubahan ini tidak mengorbankan kebebasan individu.</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menghadapi dunia digital yang dinamis, kesimpulan ini menegaskan bahwa harmonisasi antara hukum dan teknologi, perlindungan hak asasi, pendidikan masyarakat, serta kerjasama dan adaptabilitas menjadi landasan utama untuk menjawab tantangan tindak pidana di era digital.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Penilaian Efektivitas UU ITE: Tinjau secara kritis sejauh mana Undang-Undang Informasi dan Transaksi Elektronik (UU ITE) efektif dalam menanggapi dan menindak tindak pidana di dunia maya. Identifikasi kekuatan dan kelemahan UU ITE dalam mengatasi tantangan teknologi informasi.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Tantangan Teknologi Terkini: Identifikasi dan analisis tantangan terkini yang muncul dari kemajuan teknologi, seperti keamanan jaringan, enkripsi, dan teknik baru yang digunakan oleh pelaku kejahatan siber. Tinjau sejauh mana hukum saat ini dapat menanggapi tantangan ini.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Peran Kolaborasi Internasional: Soroti peran kerjasama internasional dalam penegakan hukum terhadap kejahatan teknologi informasi. Evaluasi sejauh mana koordinasi antar-negara dapat memperkuat kapasitas penegakan hukum di Indonesia.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Keterlibatan Masyarakat dan Pendidikan Hukum: Analisis sejauh mana keterlibatan masyarakat dan pemahaman hukum di kalangan individu dapat meningkatkan efektivitas penegakan hukum terhadap tindak pidana teknologi informasi. Pertimbangkan peran pendidikan hukum dalam meningkatkan kesadaran masyarakat.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5. Rekomendasi untuk Perbaikan Hukum: Sajikan rekomendasi spesifik untuk perbaikan hukum, termasuk potensi revisi UU ITE atau pengenalan regulasi tambahan. Fokuskan pada peningkatan kerangka hukum yang dapat mengakomodasi dinamika teknologi informasi.</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Dengan merinci aspek-aspek ini, analisis Anda akan lebih terfokus pada evaluasi UU ITE, tantangan teknologi terkini, peran kerjasama internasional, partisipasi masyarakat, dan rekomendasi konkret untuk perbaikan hukum dalam konteks kejahatan teknologi informasi dan transaksi elektronik di Indonesia.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Dermawan, A., &amp; Akmal. (2019). URGENSI PERLINDUNGAN HUKUM BAGI KORBAN TINDAK PIDANA KEJAHATAN TEKNOLOGI INFORMASI. Journal of Science and Social Research, 2(2), 39–46. http://jurnal.goretanpena.com/index.php/JSSR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Junaidi, M., Sukarna, K., &amp; Sadono, B. (2020). PEMAHAMAN TINDAK PIDANA TRANSAKSI ELEKTRONIK DALAM UNDANG- UNDANG NO 19 TAHUN 2016 TENTANG INFORMASI DAN TRANSAKSI ELEKTRONIK. Jurnal BUDIMAS, 2(2).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Moniaga, A., Sepang, M., &amp; Muaja, H. S. (2023). PENYIDIKAN DALAM RANGKA MENGUNGKAP TINDAK PIDANA INFORMASI ELEKTRONIK DAN TRANSAKSI ELEKTRONIK. Lex Administratum, 11(2). http://www.jpnn.com/read/2015/12/20/345801/awas!!-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Putra, A. S. (2019). PENTING NYA KESADARAN HUKUM RAKYAT INDONESIA DI BIDANG TEKNOLOGI INFORMASI DI TINJAU DARI KEBERADAAN CYBERCRIME. Seminar Nasional Inovasi Dan Teknologi, 1(1).</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 Daud, A. (2013). KEBIJAKAN PENEGAKAN HUKUM DALAM UPAYA PENANGGULANGAN TINDAK PIDANA TEKNOLOGI INFORMASI. Lex Crimen, 2(1).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Setiawan, R., &amp; Arista, M. O. (2013). EFEKTIVITAS UNDANG-UNDANG INFORMASI DAN TRANSAKSI ELEKTRONIK DI INDONESIA DALAM ASPEK HUKUM PIDANA. Recidive, 2(2).</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t xml:space="preserve">Susanto, E., Rahman, H., Nurazizah, N., Aisyah, L., &amp; Puspitasari, E. (2021). Politik Hukum Pidana Dalam Penegakkan Undang-Undang Informasi Dan Transaksi Elektronik (ITE). Journal Kompilasi Hukum, 6(2). https://doi.org/10.29303/jkh.v6i2.76</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