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62035" w:rsidRPr="00CC14E0" w:rsidRDefault="00000000">
      <w:pPr>
        <w:jc w:val="center"/>
        <w:rPr>
          <w:rFonts w:ascii="Times New Roman" w:eastAsia="Times New Roman" w:hAnsi="Times New Roman" w:cs="Times New Roman"/>
          <w:b/>
          <w:sz w:val="28"/>
          <w:szCs w:val="28"/>
        </w:rPr>
      </w:pPr>
      <w:r w:rsidRPr="00CC14E0">
        <w:rPr>
          <w:rFonts w:ascii="Times New Roman" w:eastAsia="Times New Roman" w:hAnsi="Times New Roman" w:cs="Times New Roman"/>
          <w:b/>
          <w:sz w:val="28"/>
          <w:szCs w:val="28"/>
        </w:rPr>
        <w:t>Kajian Perlindungan Hukum Bagi Justice Collaborator dalam Penanganan Tindak Pidana Narkotika di Indonesia</w:t>
      </w:r>
    </w:p>
    <w:p w14:paraId="00000002" w14:textId="77777777" w:rsidR="00F62035" w:rsidRPr="00CC14E0" w:rsidRDefault="00F62035">
      <w:pPr>
        <w:jc w:val="center"/>
        <w:rPr>
          <w:rFonts w:ascii="Times New Roman" w:eastAsia="Times New Roman" w:hAnsi="Times New Roman" w:cs="Times New Roman"/>
          <w:b/>
          <w:sz w:val="28"/>
          <w:szCs w:val="28"/>
        </w:rPr>
      </w:pPr>
    </w:p>
    <w:p w14:paraId="00000003" w14:textId="77777777" w:rsidR="00F62035" w:rsidRPr="00CC14E0" w:rsidRDefault="00F62035">
      <w:pPr>
        <w:jc w:val="both"/>
        <w:rPr>
          <w:rFonts w:ascii="Times New Roman" w:eastAsia="Times New Roman" w:hAnsi="Times New Roman" w:cs="Times New Roman"/>
          <w:b/>
          <w:sz w:val="28"/>
          <w:szCs w:val="28"/>
        </w:rPr>
      </w:pPr>
    </w:p>
    <w:p w14:paraId="00000004" w14:textId="77777777" w:rsidR="00F62035" w:rsidRPr="00CC14E0" w:rsidRDefault="00000000">
      <w:pPr>
        <w:numPr>
          <w:ilvl w:val="0"/>
          <w:numId w:val="1"/>
        </w:numPr>
        <w:jc w:val="both"/>
        <w:rPr>
          <w:rFonts w:ascii="Times New Roman" w:eastAsia="Times New Roman" w:hAnsi="Times New Roman" w:cs="Times New Roman"/>
          <w:b/>
          <w:sz w:val="24"/>
          <w:szCs w:val="24"/>
        </w:rPr>
      </w:pPr>
      <w:r w:rsidRPr="00CC14E0">
        <w:rPr>
          <w:rFonts w:ascii="Times New Roman" w:eastAsia="Times New Roman" w:hAnsi="Times New Roman" w:cs="Times New Roman"/>
          <w:b/>
          <w:sz w:val="24"/>
          <w:szCs w:val="24"/>
        </w:rPr>
        <w:t>Abstrak</w:t>
      </w:r>
    </w:p>
    <w:p w14:paraId="00000005" w14:textId="77777777" w:rsidR="00F62035" w:rsidRPr="00CC14E0" w:rsidRDefault="00000000">
      <w:pPr>
        <w:ind w:left="720" w:firstLine="720"/>
        <w:jc w:val="both"/>
        <w:rPr>
          <w:rFonts w:ascii="Times New Roman" w:eastAsia="Times New Roman" w:hAnsi="Times New Roman" w:cs="Times New Roman"/>
          <w:color w:val="222222"/>
          <w:sz w:val="24"/>
          <w:szCs w:val="24"/>
          <w:highlight w:val="white"/>
        </w:rPr>
      </w:pPr>
      <w:r w:rsidRPr="00CC14E0">
        <w:rPr>
          <w:rFonts w:ascii="Times New Roman" w:eastAsia="Times New Roman" w:hAnsi="Times New Roman" w:cs="Times New Roman"/>
          <w:color w:val="222222"/>
          <w:sz w:val="24"/>
          <w:szCs w:val="24"/>
          <w:highlight w:val="white"/>
        </w:rPr>
        <w:t>Indonesia, sebagai negara berlandaskan Pancasila dan Undang Undang Dasar 1945, mengutamakan Hak Asasi Manusia (HAM) dan perlindungan hukum. Terutama dalam konteks tindak pidana narkotika, upaya perlindungan HAM menjadi penting, mengingat peredaran narkotika yang merusak dan pelibatan jaringan terorganisir. Penelitian ini menggunakan metode penelitian hukum normatif dan studi kepustakaan untuk mengevaluasi regulasi perlindungan hukum bagi Justice Collaborator dalam tindak pidana narkotika di Indonesia.</w:t>
      </w:r>
    </w:p>
    <w:p w14:paraId="00000006" w14:textId="77777777" w:rsidR="00F62035" w:rsidRPr="00CC14E0" w:rsidRDefault="00000000">
      <w:pPr>
        <w:ind w:left="720" w:firstLine="720"/>
        <w:jc w:val="both"/>
        <w:rPr>
          <w:rFonts w:ascii="Times New Roman" w:eastAsia="Times New Roman" w:hAnsi="Times New Roman" w:cs="Times New Roman"/>
          <w:color w:val="222222"/>
          <w:sz w:val="24"/>
          <w:szCs w:val="24"/>
          <w:highlight w:val="white"/>
        </w:rPr>
      </w:pPr>
      <w:r w:rsidRPr="00CC14E0">
        <w:rPr>
          <w:rFonts w:ascii="Times New Roman" w:eastAsia="Times New Roman" w:hAnsi="Times New Roman" w:cs="Times New Roman"/>
          <w:color w:val="222222"/>
          <w:sz w:val="24"/>
          <w:szCs w:val="24"/>
          <w:highlight w:val="white"/>
        </w:rPr>
        <w:t>Hasil penelitian mengungkapkan bahwa perlindungan hukum bagi Justice Collaborator dalam tindak pidana narkotika adalah krusial dalam mengungkap jaringan kejahatan terorganisir. Meskipun peraturan telah ada, masih terdapat kendala dalam implementasinya, termasuk tantangan memotivasi individu untuk berkolaborasi dengan aparat penegak hukum dan mengatasi ancaman terhadap keselamatan mereka. Namun, pengaturan ini memberikan dasar hukum yang kuat untuk meningkatkan kerjasama dalam mengungkap kasus narkotika yang kompleks di masa depan.</w:t>
      </w:r>
    </w:p>
    <w:p w14:paraId="00000007" w14:textId="77777777" w:rsidR="00F62035" w:rsidRPr="00CC14E0" w:rsidRDefault="00F62035">
      <w:pPr>
        <w:ind w:left="720" w:firstLine="720"/>
        <w:jc w:val="both"/>
        <w:rPr>
          <w:rFonts w:ascii="Times New Roman" w:eastAsia="Times New Roman" w:hAnsi="Times New Roman" w:cs="Times New Roman"/>
          <w:color w:val="222222"/>
          <w:sz w:val="24"/>
          <w:szCs w:val="24"/>
          <w:highlight w:val="white"/>
        </w:rPr>
      </w:pPr>
    </w:p>
    <w:p w14:paraId="00000008" w14:textId="77777777" w:rsidR="00F62035" w:rsidRPr="00CC14E0" w:rsidRDefault="00000000">
      <w:pPr>
        <w:ind w:left="720" w:firstLine="720"/>
        <w:jc w:val="both"/>
        <w:rPr>
          <w:rFonts w:ascii="Times New Roman" w:eastAsia="Times New Roman" w:hAnsi="Times New Roman" w:cs="Times New Roman"/>
          <w:color w:val="222222"/>
          <w:sz w:val="24"/>
          <w:szCs w:val="24"/>
          <w:highlight w:val="white"/>
        </w:rPr>
      </w:pPr>
      <w:r w:rsidRPr="00CC14E0">
        <w:rPr>
          <w:rFonts w:ascii="Times New Roman" w:eastAsia="Times New Roman" w:hAnsi="Times New Roman" w:cs="Times New Roman"/>
          <w:color w:val="222222"/>
          <w:sz w:val="24"/>
          <w:szCs w:val="24"/>
          <w:highlight w:val="white"/>
        </w:rPr>
        <w:t>Kata kunci: Indonesia, narkotika, Justice Collaborator, perlindungan hukum, penegakan hukum.</w:t>
      </w:r>
    </w:p>
    <w:p w14:paraId="00000009" w14:textId="77777777" w:rsidR="00F62035" w:rsidRPr="00CC14E0" w:rsidRDefault="00F62035">
      <w:pPr>
        <w:jc w:val="both"/>
        <w:rPr>
          <w:rFonts w:ascii="Times New Roman" w:eastAsia="Times New Roman" w:hAnsi="Times New Roman" w:cs="Times New Roman"/>
          <w:color w:val="222222"/>
          <w:sz w:val="24"/>
          <w:szCs w:val="24"/>
          <w:highlight w:val="white"/>
        </w:rPr>
      </w:pPr>
    </w:p>
    <w:p w14:paraId="0000000A" w14:textId="77777777" w:rsidR="00F62035" w:rsidRPr="00CC14E0" w:rsidRDefault="00000000">
      <w:pPr>
        <w:ind w:left="720" w:firstLine="720"/>
        <w:jc w:val="both"/>
        <w:rPr>
          <w:rFonts w:ascii="Times New Roman" w:eastAsia="Times New Roman" w:hAnsi="Times New Roman" w:cs="Times New Roman"/>
          <w:i/>
          <w:color w:val="222222"/>
          <w:sz w:val="24"/>
          <w:szCs w:val="24"/>
          <w:highlight w:val="white"/>
        </w:rPr>
      </w:pPr>
      <w:r w:rsidRPr="00CC14E0">
        <w:rPr>
          <w:rFonts w:ascii="Times New Roman" w:eastAsia="Times New Roman" w:hAnsi="Times New Roman" w:cs="Times New Roman"/>
          <w:i/>
          <w:color w:val="222222"/>
          <w:sz w:val="24"/>
          <w:szCs w:val="24"/>
          <w:highlight w:val="white"/>
        </w:rPr>
        <w:t>Indonesia, as a country based on Pancasila and the 1945 Constitution, prioritizes human rights and legal protection. Especially in the context of narcotics crimes, efforts to protect human rights are important, considering the destructive circulation of narcotics and the involvement of organized networks. This research uses normative legal research methods and a literature study to evaluate legal protection regulations for justice collaborators in narcotics crimes in Indonesia.</w:t>
      </w:r>
    </w:p>
    <w:p w14:paraId="0000000B" w14:textId="77777777" w:rsidR="00F62035" w:rsidRPr="00CC14E0" w:rsidRDefault="00000000">
      <w:pPr>
        <w:ind w:left="720" w:firstLine="720"/>
        <w:jc w:val="both"/>
        <w:rPr>
          <w:rFonts w:ascii="Times New Roman" w:eastAsia="Times New Roman" w:hAnsi="Times New Roman" w:cs="Times New Roman"/>
          <w:i/>
          <w:color w:val="222222"/>
          <w:sz w:val="24"/>
          <w:szCs w:val="24"/>
          <w:highlight w:val="white"/>
        </w:rPr>
      </w:pPr>
      <w:r w:rsidRPr="00CC14E0">
        <w:rPr>
          <w:rFonts w:ascii="Times New Roman" w:eastAsia="Times New Roman" w:hAnsi="Times New Roman" w:cs="Times New Roman"/>
          <w:i/>
          <w:color w:val="222222"/>
          <w:sz w:val="24"/>
          <w:szCs w:val="24"/>
          <w:highlight w:val="white"/>
        </w:rPr>
        <w:t>The research results reveal that legal protection for justice collaborators in narcotics crimes is crucial to uncovering organized crime networks. Although regulations exist, there are still obstacles to their implementation, including the challenge of motivating individuals to collaborate with law enforcement officials and address threats to their safety. However, this arrangement provides a strong legal basis for increasing cooperation in uncovering complex narcotics cases in the future.</w:t>
      </w:r>
    </w:p>
    <w:p w14:paraId="0000000C" w14:textId="77777777" w:rsidR="00F62035" w:rsidRPr="00CC14E0" w:rsidRDefault="00F62035">
      <w:pPr>
        <w:ind w:left="720" w:firstLine="720"/>
        <w:jc w:val="both"/>
        <w:rPr>
          <w:rFonts w:ascii="Times New Roman" w:eastAsia="Times New Roman" w:hAnsi="Times New Roman" w:cs="Times New Roman"/>
          <w:i/>
          <w:color w:val="222222"/>
          <w:sz w:val="24"/>
          <w:szCs w:val="24"/>
          <w:highlight w:val="white"/>
        </w:rPr>
      </w:pPr>
    </w:p>
    <w:p w14:paraId="0000000D" w14:textId="77777777" w:rsidR="00F62035" w:rsidRPr="00CC14E0" w:rsidRDefault="00000000">
      <w:pPr>
        <w:ind w:left="720" w:firstLine="720"/>
        <w:jc w:val="both"/>
        <w:rPr>
          <w:rFonts w:ascii="Times New Roman" w:eastAsia="Times New Roman" w:hAnsi="Times New Roman" w:cs="Times New Roman"/>
          <w:i/>
          <w:color w:val="222222"/>
          <w:sz w:val="24"/>
          <w:szCs w:val="24"/>
          <w:highlight w:val="white"/>
        </w:rPr>
      </w:pPr>
      <w:r w:rsidRPr="00CC14E0">
        <w:rPr>
          <w:rFonts w:ascii="Times New Roman" w:eastAsia="Times New Roman" w:hAnsi="Times New Roman" w:cs="Times New Roman"/>
          <w:b/>
          <w:i/>
          <w:color w:val="222222"/>
          <w:sz w:val="24"/>
          <w:szCs w:val="24"/>
          <w:highlight w:val="white"/>
        </w:rPr>
        <w:t>Keywords</w:t>
      </w:r>
      <w:r w:rsidRPr="00CC14E0">
        <w:rPr>
          <w:rFonts w:ascii="Times New Roman" w:eastAsia="Times New Roman" w:hAnsi="Times New Roman" w:cs="Times New Roman"/>
          <w:i/>
          <w:color w:val="222222"/>
          <w:sz w:val="24"/>
          <w:szCs w:val="24"/>
          <w:highlight w:val="white"/>
        </w:rPr>
        <w:t>: Indonesia, narcotics, justice collaborator, legal protection, law enforcement.</w:t>
      </w:r>
    </w:p>
    <w:p w14:paraId="0000000E" w14:textId="77777777" w:rsidR="00F62035" w:rsidRPr="00CC14E0" w:rsidRDefault="00F62035">
      <w:pPr>
        <w:ind w:left="720" w:firstLine="720"/>
        <w:jc w:val="both"/>
        <w:rPr>
          <w:rFonts w:ascii="Times New Roman" w:eastAsia="Times New Roman" w:hAnsi="Times New Roman" w:cs="Times New Roman"/>
          <w:color w:val="222222"/>
          <w:sz w:val="24"/>
          <w:szCs w:val="24"/>
          <w:highlight w:val="white"/>
        </w:rPr>
      </w:pPr>
    </w:p>
    <w:p w14:paraId="0000000F" w14:textId="77777777" w:rsidR="00F62035" w:rsidRPr="00CC14E0" w:rsidRDefault="00000000">
      <w:pPr>
        <w:numPr>
          <w:ilvl w:val="0"/>
          <w:numId w:val="1"/>
        </w:numPr>
        <w:jc w:val="both"/>
        <w:rPr>
          <w:rFonts w:ascii="Times New Roman" w:eastAsia="Times New Roman" w:hAnsi="Times New Roman" w:cs="Times New Roman"/>
          <w:b/>
          <w:sz w:val="24"/>
          <w:szCs w:val="24"/>
        </w:rPr>
      </w:pPr>
      <w:r w:rsidRPr="00CC14E0">
        <w:rPr>
          <w:rFonts w:ascii="Times New Roman" w:eastAsia="Times New Roman" w:hAnsi="Times New Roman" w:cs="Times New Roman"/>
          <w:b/>
          <w:sz w:val="24"/>
          <w:szCs w:val="24"/>
        </w:rPr>
        <w:t>Pendahuluan</w:t>
      </w:r>
    </w:p>
    <w:p w14:paraId="00000010" w14:textId="0D678B3F" w:rsidR="00F62035" w:rsidRPr="00CC14E0" w:rsidRDefault="00000000">
      <w:pPr>
        <w:ind w:firstLine="720"/>
        <w:jc w:val="both"/>
        <w:rPr>
          <w:rFonts w:ascii="Times New Roman" w:eastAsia="Times New Roman" w:hAnsi="Times New Roman" w:cs="Times New Roman"/>
          <w:sz w:val="24"/>
          <w:szCs w:val="24"/>
        </w:rPr>
      </w:pPr>
      <w:r w:rsidRPr="00CC14E0">
        <w:rPr>
          <w:rFonts w:ascii="Times New Roman" w:eastAsia="Times New Roman" w:hAnsi="Times New Roman" w:cs="Times New Roman"/>
          <w:sz w:val="24"/>
          <w:szCs w:val="24"/>
        </w:rPr>
        <w:t xml:space="preserve">Indonesia, sebagai sebuah Negara yang berlandaskan Pancasila dan Undang Undang Dasar 1945, memiliki dasar yang kuat dalam menjunjung tinggi Hak Asasi Manusia (HAM) dan menjamin kesetaraan hak warganya dalam ranah hukum dan pemerintahan. Prinsip-prinsip </w:t>
      </w:r>
      <w:r w:rsidRPr="00CC14E0">
        <w:rPr>
          <w:rFonts w:ascii="Times New Roman" w:eastAsia="Times New Roman" w:hAnsi="Times New Roman" w:cs="Times New Roman"/>
          <w:sz w:val="24"/>
          <w:szCs w:val="24"/>
        </w:rPr>
        <w:lastRenderedPageBreak/>
        <w:t xml:space="preserve">ini mencakup pengakuan dan perlindungan HAM, kemerdekaan peradilan yang adil dan tidak memihak, ketidakberpihakan terhadap pihak-pihak berkuasa lainnya, serta legalitas tindakan-tindakan yang dilakukan oleh aparat Negara yang dapat dipertanggungjawabkan secara hukum </w:t>
      </w:r>
      <w:sdt>
        <w:sdtPr>
          <w:rPr>
            <w:rFonts w:ascii="Times New Roman" w:eastAsia="Times New Roman" w:hAnsi="Times New Roman" w:cs="Times New Roman"/>
            <w:color w:val="000000"/>
            <w:sz w:val="24"/>
            <w:szCs w:val="24"/>
          </w:rPr>
          <w:tag w:val="MENDELEY_CITATION_v3_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"/>
          <w:id w:val="657890014"/>
          <w:placeholder>
            <w:docPart w:val="DefaultPlaceholder_-1854013440"/>
          </w:placeholder>
        </w:sdtPr>
        <w:sdtContent>
          <w:r w:rsidR="0060312A" w:rsidRPr="0060312A">
            <w:rPr>
              <w:rFonts w:ascii="Times New Roman" w:eastAsia="Times New Roman" w:hAnsi="Times New Roman" w:cs="Times New Roman"/>
              <w:color w:val="000000"/>
              <w:sz w:val="24"/>
              <w:szCs w:val="24"/>
            </w:rPr>
            <w:t>(Amin, 2020)</w:t>
          </w:r>
        </w:sdtContent>
      </w:sdt>
    </w:p>
    <w:p w14:paraId="00000011" w14:textId="77777777" w:rsidR="00F62035" w:rsidRPr="00CC14E0" w:rsidRDefault="00000000">
      <w:pPr>
        <w:ind w:firstLine="720"/>
        <w:jc w:val="both"/>
        <w:rPr>
          <w:rFonts w:ascii="Times New Roman" w:eastAsia="Times New Roman" w:hAnsi="Times New Roman" w:cs="Times New Roman"/>
          <w:sz w:val="24"/>
          <w:szCs w:val="24"/>
        </w:rPr>
      </w:pPr>
      <w:r w:rsidRPr="00CC14E0">
        <w:rPr>
          <w:rFonts w:ascii="Times New Roman" w:eastAsia="Times New Roman" w:hAnsi="Times New Roman" w:cs="Times New Roman"/>
          <w:sz w:val="24"/>
          <w:szCs w:val="24"/>
        </w:rPr>
        <w:t>Sebagai komponen integral dalam struktur Negara yang berprinsip hukum ini, warga negara Indonesia memiliki hak-hak asasi manusia yang diakui dan dilindungi oleh pemerintah melalui peraturan-peraturan hukum. Perlindungan terhadap hak-hak ini dilakukan oleh berbagai badan pemerintahan, termasuk lembaga legislatif, eksekutif, dan yudikatif, masing-masing dengan kewenangan dan peranannya sendiri-sendiri. Mereka memiliki fleksibilitas dalam memberikan perlindungan yang sesuai dengan hak-hak yang dimiliki warga negara (Amin, 2020)</w:t>
      </w:r>
    </w:p>
    <w:p w14:paraId="00000012" w14:textId="77777777" w:rsidR="00F62035" w:rsidRPr="00CC14E0" w:rsidRDefault="00000000">
      <w:pPr>
        <w:ind w:firstLine="720"/>
        <w:jc w:val="both"/>
        <w:rPr>
          <w:rFonts w:ascii="Times New Roman" w:eastAsia="Times New Roman" w:hAnsi="Times New Roman" w:cs="Times New Roman"/>
          <w:sz w:val="24"/>
          <w:szCs w:val="24"/>
        </w:rPr>
      </w:pPr>
      <w:r w:rsidRPr="00CC14E0">
        <w:rPr>
          <w:rFonts w:ascii="Times New Roman" w:eastAsia="Times New Roman" w:hAnsi="Times New Roman" w:cs="Times New Roman"/>
          <w:sz w:val="24"/>
          <w:szCs w:val="24"/>
        </w:rPr>
        <w:t>Perlindungan hak asasi manusia di Indonesia tidak dapat dipisahkan dari nilai-nilai yang terkandung dalam Pancasila dan UUD 1945. Prinsip-prinsip ini melibatkan unsur-unsur seperti keyakinan kepada Tuhan Yang Maha Esa, nilai-nilai kemanusiaan, persatuan, musyawarah, dan keadilan sosial. Prinsip-prinsip ini terwujud dalam pelaksanaan peradilan pidana, di mana keseriusan dalam menjaga hak asasi manusia tercermin dalam sepuluh asas hukum yang dijelaskan dalam KUHAP, peraturan dasar acara pidana yang mengatur tindakan aparat penegak hukum dalam menangani kasus pidana, dengan selalu memperhatikan perlindungan hak asasi manusia selama proses peradilan (Amin, 2020)</w:t>
      </w:r>
    </w:p>
    <w:p w14:paraId="00000013" w14:textId="6AFF88F7" w:rsidR="00F62035" w:rsidRPr="00CC14E0" w:rsidRDefault="00000000">
      <w:pPr>
        <w:ind w:firstLine="720"/>
        <w:jc w:val="both"/>
        <w:rPr>
          <w:rFonts w:ascii="Times New Roman" w:eastAsia="Times New Roman" w:hAnsi="Times New Roman" w:cs="Times New Roman"/>
          <w:sz w:val="24"/>
          <w:szCs w:val="24"/>
        </w:rPr>
      </w:pPr>
      <w:r w:rsidRPr="00CC14E0">
        <w:rPr>
          <w:rFonts w:ascii="Times New Roman" w:eastAsia="Times New Roman" w:hAnsi="Times New Roman" w:cs="Times New Roman"/>
          <w:sz w:val="24"/>
          <w:szCs w:val="24"/>
        </w:rPr>
        <w:t xml:space="preserve">Terkait dengan narkotika, yang didefinisikan dalam Pasal 1 ayat 1, UU No. 35 Tahun 2009 tentang Narkotika, mencakup berbagai substansi seperti tanaman papaver, opium mentah, opium masak, candu, jicing, jicingko, opium obat, morfina, tanaman koka, daun koka, kokain mentah, kokaina, ekgonina, tanaman ganja, damar ganja, garam-garam, atau turunannya dari morfin dan kokain </w:t>
      </w:r>
      <w:sdt>
        <w:sdtPr>
          <w:rPr>
            <w:rFonts w:ascii="Times New Roman" w:eastAsia="Times New Roman" w:hAnsi="Times New Roman" w:cs="Times New Roman"/>
            <w:color w:val="000000"/>
            <w:sz w:val="24"/>
            <w:szCs w:val="24"/>
          </w:rPr>
          <w:tag w:val="MENDELEY_CITATION_v3_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"/>
          <w:id w:val="906889503"/>
          <w:placeholder>
            <w:docPart w:val="DefaultPlaceholder_-1854013440"/>
          </w:placeholder>
        </w:sdtPr>
        <w:sdtContent>
          <w:r w:rsidR="0060312A" w:rsidRPr="0060312A">
            <w:rPr>
              <w:rFonts w:ascii="Times New Roman" w:eastAsia="Times New Roman" w:hAnsi="Times New Roman" w:cs="Times New Roman"/>
              <w:color w:val="000000"/>
              <w:sz w:val="24"/>
              <w:szCs w:val="24"/>
            </w:rPr>
            <w:t>(Sihite, 2023)</w:t>
          </w:r>
        </w:sdtContent>
      </w:sdt>
    </w:p>
    <w:p w14:paraId="00000014" w14:textId="028C7C0F" w:rsidR="00F62035" w:rsidRPr="00CC14E0" w:rsidRDefault="00000000">
      <w:pPr>
        <w:ind w:firstLine="720"/>
        <w:jc w:val="both"/>
        <w:rPr>
          <w:rFonts w:ascii="Times New Roman" w:eastAsia="Times New Roman" w:hAnsi="Times New Roman" w:cs="Times New Roman"/>
          <w:sz w:val="24"/>
          <w:szCs w:val="24"/>
        </w:rPr>
      </w:pPr>
      <w:r w:rsidRPr="00CC14E0">
        <w:rPr>
          <w:rFonts w:ascii="Times New Roman" w:eastAsia="Times New Roman" w:hAnsi="Times New Roman" w:cs="Times New Roman"/>
          <w:sz w:val="24"/>
          <w:szCs w:val="24"/>
        </w:rPr>
        <w:t xml:space="preserve">Dalam konteks hukum Indonesia, narkotika dilarang dan peredarannya dianggap sebagai tindak pidana. Narkotika juga dianggap sebagai kejahatan serius yang berdampak buruk pada kesehatan dan masa depan generasi penerus bangsa. Oleh karena itu, ada undang-undang khusus yang mengatur tindak pidana narkotika, yang melibatkan berbagai pihak dalam Negara untuk mencegah dan menegakkan hukum terkait dengan narkotika </w:t>
      </w:r>
      <w:sdt>
        <w:sdtPr>
          <w:rPr>
            <w:rFonts w:ascii="Times New Roman" w:eastAsia="Times New Roman" w:hAnsi="Times New Roman" w:cs="Times New Roman"/>
            <w:color w:val="000000"/>
            <w:sz w:val="24"/>
            <w:szCs w:val="24"/>
          </w:rPr>
          <w:tag w:val="MENDELEY_CITATION_v3_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"/>
          <w:id w:val="-1604725988"/>
          <w:placeholder>
            <w:docPart w:val="DefaultPlaceholder_-1854013440"/>
          </w:placeholder>
        </w:sdtPr>
        <w:sdtContent>
          <w:r w:rsidR="0060312A" w:rsidRPr="0060312A">
            <w:rPr>
              <w:rFonts w:ascii="Times New Roman" w:eastAsia="Times New Roman" w:hAnsi="Times New Roman" w:cs="Times New Roman"/>
              <w:color w:val="000000"/>
              <w:sz w:val="24"/>
              <w:szCs w:val="24"/>
            </w:rPr>
            <w:t>(Indra, 2023)</w:t>
          </w:r>
        </w:sdtContent>
      </w:sdt>
    </w:p>
    <w:p w14:paraId="00000015" w14:textId="5C091F17" w:rsidR="00F62035" w:rsidRPr="00CC14E0" w:rsidRDefault="00000000">
      <w:pPr>
        <w:ind w:firstLine="720"/>
        <w:jc w:val="both"/>
        <w:rPr>
          <w:rFonts w:ascii="Times New Roman" w:eastAsia="Times New Roman" w:hAnsi="Times New Roman" w:cs="Times New Roman"/>
          <w:sz w:val="24"/>
          <w:szCs w:val="24"/>
        </w:rPr>
      </w:pPr>
      <w:r w:rsidRPr="00CC14E0">
        <w:rPr>
          <w:rFonts w:ascii="Times New Roman" w:eastAsia="Times New Roman" w:hAnsi="Times New Roman" w:cs="Times New Roman"/>
          <w:sz w:val="24"/>
          <w:szCs w:val="24"/>
        </w:rPr>
        <w:t xml:space="preserve">Dalam beberapa tahun terakhir, Indonesia telah menjadi salah satu pasar utama bagi jaringan sindikat peredaran narkotika di tingkat internasional. Karena Indonesia merupakan negara kepulauan yang dikelilingi oleh perairan luas, posisinya dianggap sangat strategis. Menurut laporan UNODC, Indonesia termasuk dalam segitiga emas perdagangan narkotika, khususnya jenis metamfetamin atau sabu, di kawasan Asia Tenggara. Jumlah kasus tindak pidana narkotika yang berhasil diungkap oleh POLRI dan BNN selama lima tahun terakhir mencerminkan besarnya tantangan yang dihadapi, seperti pada tahun 2018 dengan 40.469 kasus, tahun 2019 dengan 38.269 kasus, tahun 2020 dengan 41.999 kasus, dan tahun 2021 dengan 25.874 kasus </w:t>
      </w:r>
      <w:sdt>
        <w:sdtPr>
          <w:rPr>
            <w:rFonts w:ascii="Times New Roman" w:eastAsia="Times New Roman" w:hAnsi="Times New Roman" w:cs="Times New Roman"/>
            <w:sz w:val="24"/>
            <w:szCs w:val="24"/>
          </w:rPr>
          <w:tag w:val="MENDELEY_CITATION_v3_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"/>
          <w:id w:val="1138218244"/>
          <w:placeholder>
            <w:docPart w:val="DefaultPlaceholder_-1854013440"/>
          </w:placeholder>
        </w:sdtPr>
        <w:sdtContent>
          <w:r w:rsidR="0060312A">
            <w:rPr>
              <w:rFonts w:eastAsia="Times New Roman"/>
            </w:rPr>
            <w:t>(Jardan &amp; Mulyati, 2023)</w:t>
          </w:r>
        </w:sdtContent>
      </w:sdt>
    </w:p>
    <w:p w14:paraId="00000016" w14:textId="148D85D0" w:rsidR="00F62035" w:rsidRPr="00CC14E0" w:rsidRDefault="00000000">
      <w:pPr>
        <w:ind w:firstLine="720"/>
        <w:jc w:val="both"/>
        <w:rPr>
          <w:rFonts w:ascii="Times New Roman" w:eastAsia="Times New Roman" w:hAnsi="Times New Roman" w:cs="Times New Roman"/>
          <w:sz w:val="24"/>
          <w:szCs w:val="24"/>
        </w:rPr>
      </w:pPr>
      <w:r w:rsidRPr="00CC14E0">
        <w:rPr>
          <w:rFonts w:ascii="Times New Roman" w:eastAsia="Times New Roman" w:hAnsi="Times New Roman" w:cs="Times New Roman"/>
          <w:sz w:val="24"/>
          <w:szCs w:val="24"/>
        </w:rPr>
        <w:t xml:space="preserve">Dalam konteks peradilan, tahap pembuktian memegang peranan kunci dalam proses hukum, terutama dalam kasus-kasus yang melibatkan kejahatan terorganisir seperti korupsi, narkotika, psikotropika, pencucian uang, perdagangan manusia, dan lainnya. Dalam usaha mengungkap kasus-kasus ini, peran whistleblower dan Justice Collaborator menjadi sangat penting. Mereka tampil sebagai respons terhadap kesulitan yang dihadapi oleh penyidik dan </w:t>
      </w:r>
      <w:r w:rsidRPr="00CC14E0">
        <w:rPr>
          <w:rFonts w:ascii="Times New Roman" w:eastAsia="Times New Roman" w:hAnsi="Times New Roman" w:cs="Times New Roman"/>
          <w:sz w:val="24"/>
          <w:szCs w:val="24"/>
        </w:rPr>
        <w:lastRenderedPageBreak/>
        <w:t xml:space="preserve">penuntut umum dalam menghadapi pelaku kejahatan terorganisir yang merugikan negara dan masyarakat </w:t>
      </w:r>
      <w:sdt>
        <w:sdtPr>
          <w:rPr>
            <w:rFonts w:ascii="Times New Roman" w:eastAsia="Times New Roman" w:hAnsi="Times New Roman" w:cs="Times New Roman"/>
            <w:color w:val="000000"/>
            <w:sz w:val="24"/>
            <w:szCs w:val="24"/>
          </w:rPr>
          <w:tag w:val="MENDELEY_CITATION_v3_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"/>
          <w:id w:val="665982911"/>
          <w:placeholder>
            <w:docPart w:val="DefaultPlaceholder_-1854013440"/>
          </w:placeholder>
        </w:sdtPr>
        <w:sdtContent>
          <w:r w:rsidR="0060312A" w:rsidRPr="0060312A">
            <w:rPr>
              <w:rFonts w:ascii="Times New Roman" w:eastAsia="Times New Roman" w:hAnsi="Times New Roman" w:cs="Times New Roman"/>
              <w:color w:val="000000"/>
              <w:sz w:val="24"/>
              <w:szCs w:val="24"/>
            </w:rPr>
            <w:t>(Yolanda et al., 2016)</w:t>
          </w:r>
        </w:sdtContent>
      </w:sdt>
    </w:p>
    <w:p w14:paraId="00000017" w14:textId="6252642B" w:rsidR="00F62035" w:rsidRPr="00CC14E0" w:rsidRDefault="00000000">
      <w:pPr>
        <w:ind w:firstLine="720"/>
        <w:jc w:val="both"/>
        <w:rPr>
          <w:rFonts w:ascii="Times New Roman" w:eastAsia="Times New Roman" w:hAnsi="Times New Roman" w:cs="Times New Roman"/>
          <w:sz w:val="24"/>
          <w:szCs w:val="24"/>
        </w:rPr>
      </w:pPr>
      <w:r w:rsidRPr="00CC14E0">
        <w:rPr>
          <w:rFonts w:ascii="Times New Roman" w:eastAsia="Times New Roman" w:hAnsi="Times New Roman" w:cs="Times New Roman"/>
          <w:sz w:val="24"/>
          <w:szCs w:val="24"/>
        </w:rPr>
        <w:t xml:space="preserve">Justice Collaborator adalah individu yang terlibat dalam kejahatan dan bersedia bekerjasama dengan aparat penegak hukum untuk mengungkap kejahatan yang mereka ketahui. Peran mereka dapat berupa menjadi saksi, pelapor, atau informan yang memberikan informasi penting, bukti yang kuat, atau kesaksian yang bersumpah untuk membantu proses penegakan hukum dalam mengungkap suatu tindak kejahatan yang melibatkan mereka </w:t>
      </w:r>
      <w:sdt>
        <w:sdtPr>
          <w:rPr>
            <w:rFonts w:ascii="Times New Roman" w:eastAsia="Times New Roman" w:hAnsi="Times New Roman" w:cs="Times New Roman"/>
            <w:color w:val="000000"/>
            <w:sz w:val="24"/>
            <w:szCs w:val="24"/>
          </w:rPr>
          <w:tag w:val="MENDELEY_CITATION_v3_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"/>
          <w:id w:val="-1002121098"/>
          <w:placeholder>
            <w:docPart w:val="DefaultPlaceholder_-1854013440"/>
          </w:placeholder>
        </w:sdtPr>
        <w:sdtContent>
          <w:r w:rsidR="0060312A" w:rsidRPr="0060312A">
            <w:rPr>
              <w:rFonts w:ascii="Times New Roman" w:eastAsia="Times New Roman" w:hAnsi="Times New Roman" w:cs="Times New Roman"/>
              <w:color w:val="000000"/>
              <w:sz w:val="24"/>
              <w:szCs w:val="24"/>
            </w:rPr>
            <w:t>(Bebry, 2023)</w:t>
          </w:r>
        </w:sdtContent>
      </w:sdt>
    </w:p>
    <w:p w14:paraId="00000018" w14:textId="5AFB373B" w:rsidR="00F62035" w:rsidRPr="00CC14E0" w:rsidRDefault="00000000">
      <w:pPr>
        <w:ind w:firstLine="720"/>
        <w:jc w:val="both"/>
        <w:rPr>
          <w:rFonts w:ascii="Times New Roman" w:eastAsia="Times New Roman" w:hAnsi="Times New Roman" w:cs="Times New Roman"/>
          <w:sz w:val="24"/>
          <w:szCs w:val="24"/>
        </w:rPr>
      </w:pPr>
      <w:r w:rsidRPr="00CC14E0">
        <w:rPr>
          <w:rFonts w:ascii="Times New Roman" w:eastAsia="Times New Roman" w:hAnsi="Times New Roman" w:cs="Times New Roman"/>
          <w:sz w:val="24"/>
          <w:szCs w:val="24"/>
        </w:rPr>
        <w:t xml:space="preserve">Di Indonesia, regulasi terkait dengan Justice Collaborator diatur oleh Surat Edaran Mahkamah Agung Republik Indonesia (SEMA RI) Nomor 4 Tahun 2011 yang mengatur Perlakuan Bagi Pelapor Tindak Pidana (whistleblower) dan Saksi Pelaku Yang Bekerjasama (Justice Collaborator) Dalam Tindak Pidana Tertentu. Mereka merupakan individu yang terlibat dalam tindak pidana, namun dengan kesediaan untuk bekerja sama dengan otoritas penegak hukum dalam rangka mengungkap jaringan kejahatan yang lebih besar, khususnya dalam kasus Narkotika </w:t>
      </w:r>
      <w:sdt>
        <w:sdtPr>
          <w:rPr>
            <w:rFonts w:ascii="Times New Roman" w:eastAsia="Times New Roman" w:hAnsi="Times New Roman" w:cs="Times New Roman"/>
            <w:color w:val="000000"/>
            <w:sz w:val="24"/>
            <w:szCs w:val="24"/>
          </w:rPr>
          <w:tag w:val="MENDELEY_CITATION_v3_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"/>
          <w:id w:val="1141926120"/>
          <w:placeholder>
            <w:docPart w:val="DefaultPlaceholder_-1854013440"/>
          </w:placeholder>
        </w:sdtPr>
        <w:sdtContent>
          <w:r w:rsidR="0060312A" w:rsidRPr="0060312A">
            <w:rPr>
              <w:rFonts w:ascii="Times New Roman" w:eastAsia="Times New Roman" w:hAnsi="Times New Roman" w:cs="Times New Roman"/>
              <w:color w:val="000000"/>
              <w:sz w:val="24"/>
              <w:szCs w:val="24"/>
            </w:rPr>
            <w:t>(Situmeang et al., 2022)</w:t>
          </w:r>
        </w:sdtContent>
      </w:sdt>
    </w:p>
    <w:p w14:paraId="0437EEF4" w14:textId="77777777" w:rsidR="00740CD1" w:rsidRDefault="00000000" w:rsidP="00740CD1">
      <w:pPr>
        <w:ind w:firstLine="720"/>
        <w:jc w:val="both"/>
        <w:rPr>
          <w:rFonts w:ascii="Times New Roman" w:eastAsia="Times New Roman" w:hAnsi="Times New Roman" w:cs="Times New Roman"/>
          <w:sz w:val="24"/>
          <w:szCs w:val="24"/>
        </w:rPr>
      </w:pPr>
      <w:r w:rsidRPr="00CC14E0">
        <w:rPr>
          <w:rFonts w:ascii="Times New Roman" w:eastAsia="Times New Roman" w:hAnsi="Times New Roman" w:cs="Times New Roman"/>
          <w:sz w:val="24"/>
          <w:szCs w:val="24"/>
        </w:rPr>
        <w:t>Dalam konteks peredaran narkotika, pentingnya prinsip Justice Collaborator sangat terlihat dalam mengungkap jaringan yang kompleks dan merusak dalam peredaran narkotika. Tindak pidana narkotika merupakan salah satu bentuk kejahatan internasional dan terorganisasi, seringkali melibatkan sindikat yang terorganisasi dengan baik dan beroperasi dalam rahasia. Mengungkap kasus seperti ini seringkali dipersulit karena sindikat ini mematuhi kode etik aksi tutup mulut (omerta), yang menjadikannya sulit diidentifikasi dan dihentikan selama proses penyelidikan (Sihite, 2023)</w:t>
      </w:r>
    </w:p>
    <w:p w14:paraId="0000001C" w14:textId="467150DC" w:rsidR="00F62035" w:rsidRDefault="00740CD1" w:rsidP="00740CD1">
      <w:pPr>
        <w:ind w:firstLine="720"/>
        <w:jc w:val="both"/>
        <w:rPr>
          <w:rFonts w:ascii="Times New Roman" w:eastAsia="Times New Roman" w:hAnsi="Times New Roman" w:cs="Times New Roman"/>
          <w:sz w:val="24"/>
          <w:szCs w:val="24"/>
        </w:rPr>
      </w:pPr>
      <w:r w:rsidRPr="00740CD1">
        <w:rPr>
          <w:rFonts w:ascii="Times New Roman" w:eastAsia="Times New Roman" w:hAnsi="Times New Roman" w:cs="Times New Roman"/>
          <w:sz w:val="24"/>
          <w:szCs w:val="24"/>
        </w:rPr>
        <w:t>Di samping itu, dalam upaya penegakan hukum terkait dengan kejahatan terorganisir, terutama dalam situasi tindak pidana narkotika yang dilakukan oleh jaringan sindikat peredaran gelap narkotika, peraturan yang mengatur perlindungan hukum terhadap individu yang menjadi saksi pelaku yang bersedia berkolaborasi untuk mengungkap tindak pidana narkotika masih memiliki batasan definisi yang belum memadai. Kendala-kendala ini menghambat efektivitasnya dalam memberikan perlindungan hukum yang memadai kepada saksi pelaku yang terlibat dalam kolaborasi untuk mengungkap tindak pidana narkotika. Oleh karena itu, kajian tentang konsep perlindungan hukum terhadap individu yang menjadi saksi pelaku yang bersedia berkolaborasi (Justice collaborator) dalam konteks kasus tindak pidana narkotika dalam kerangka sistem peradilan pidana di Indonesia saat ini menjadi sangat relevan, dengan tujuan untuk mengeksplorasi bagaimana konsep perlindungan hukum terhadap individu yang menjadi saksi pelaku yang bersedia berkolaborasi (Justice collaborator) dapat diterapkan secara lebih efektif pada masa mendatang (Amin, 2020)</w:t>
      </w:r>
    </w:p>
    <w:p w14:paraId="774792BC" w14:textId="77777777" w:rsidR="00740CD1" w:rsidRPr="00CC14E0" w:rsidRDefault="00740CD1" w:rsidP="00740CD1">
      <w:pPr>
        <w:ind w:firstLine="720"/>
        <w:jc w:val="both"/>
        <w:rPr>
          <w:rFonts w:ascii="Times New Roman" w:eastAsia="Times New Roman" w:hAnsi="Times New Roman" w:cs="Times New Roman"/>
          <w:sz w:val="24"/>
          <w:szCs w:val="24"/>
        </w:rPr>
      </w:pPr>
    </w:p>
    <w:p w14:paraId="0000001D" w14:textId="77777777" w:rsidR="00F62035" w:rsidRPr="00CC14E0" w:rsidRDefault="00000000">
      <w:pPr>
        <w:numPr>
          <w:ilvl w:val="0"/>
          <w:numId w:val="1"/>
        </w:numPr>
        <w:jc w:val="both"/>
        <w:rPr>
          <w:rFonts w:ascii="Times New Roman" w:eastAsia="Times New Roman" w:hAnsi="Times New Roman" w:cs="Times New Roman"/>
          <w:b/>
          <w:sz w:val="24"/>
          <w:szCs w:val="24"/>
        </w:rPr>
      </w:pPr>
      <w:r w:rsidRPr="00CC14E0">
        <w:rPr>
          <w:rFonts w:ascii="Times New Roman" w:eastAsia="Times New Roman" w:hAnsi="Times New Roman" w:cs="Times New Roman"/>
          <w:b/>
          <w:sz w:val="24"/>
          <w:szCs w:val="24"/>
        </w:rPr>
        <w:t>Metode</w:t>
      </w:r>
    </w:p>
    <w:p w14:paraId="0000001E" w14:textId="33E522AB" w:rsidR="00F62035" w:rsidRPr="00CC14E0" w:rsidRDefault="00000000">
      <w:pPr>
        <w:ind w:firstLine="720"/>
        <w:jc w:val="both"/>
        <w:rPr>
          <w:rFonts w:ascii="Times New Roman" w:eastAsia="Times New Roman" w:hAnsi="Times New Roman" w:cs="Times New Roman"/>
          <w:sz w:val="24"/>
          <w:szCs w:val="24"/>
        </w:rPr>
      </w:pPr>
      <w:r w:rsidRPr="00CC14E0">
        <w:rPr>
          <w:rFonts w:ascii="Times New Roman" w:eastAsia="Times New Roman" w:hAnsi="Times New Roman" w:cs="Times New Roman"/>
          <w:sz w:val="24"/>
          <w:szCs w:val="24"/>
        </w:rPr>
        <w:t xml:space="preserve">Penelitian ini mengaplikasikan metode pendekatan kualitatif, khususnya dengan menggunakan pendekatan penelitian hukum normatif sebagai kerangka utamanya </w:t>
      </w:r>
      <w:sdt>
        <w:sdtPr>
          <w:rPr>
            <w:rFonts w:ascii="Times New Roman" w:eastAsia="Times New Roman" w:hAnsi="Times New Roman" w:cs="Times New Roman"/>
            <w:sz w:val="24"/>
            <w:szCs w:val="24"/>
          </w:rPr>
          <w:tag w:val="MENDELEY_CITATION_v3_eyJjaXRhdGlvbklEIjoiTUVOREVMRVlfQ0lUQVRJT05fNTA3MTUyMTgtZGEyZC00YmNmLWE0OTQtM2FjMDZjNzI3NDBk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990388513"/>
          <w:placeholder>
            <w:docPart w:val="DefaultPlaceholder_-1854013440"/>
          </w:placeholder>
        </w:sdtPr>
        <w:sdtContent>
          <w:r w:rsidR="0060312A">
            <w:rPr>
              <w:rFonts w:eastAsia="Times New Roman"/>
            </w:rPr>
            <w:t>(Robbani &amp; Yuliana, 2022)</w:t>
          </w:r>
        </w:sdtContent>
      </w:sdt>
      <w:r w:rsidRPr="00CC14E0">
        <w:rPr>
          <w:rFonts w:ascii="Times New Roman" w:eastAsia="Times New Roman" w:hAnsi="Times New Roman" w:cs="Times New Roman"/>
          <w:sz w:val="24"/>
          <w:szCs w:val="24"/>
        </w:rPr>
        <w:t xml:space="preserve"> Data yang dihasilkan dari penelitian ini memiliki sifat deskriptif, yang mencakup informasi tertulis maupun lisan yang diperoleh melalui wawancara dengan individu serta pengamatan perilaku.</w:t>
      </w:r>
    </w:p>
    <w:p w14:paraId="0000001F" w14:textId="61E05E6C" w:rsidR="00F62035" w:rsidRPr="00CC14E0" w:rsidRDefault="00000000">
      <w:pPr>
        <w:ind w:firstLine="720"/>
        <w:jc w:val="both"/>
        <w:rPr>
          <w:rFonts w:ascii="Times New Roman" w:eastAsia="Times New Roman" w:hAnsi="Times New Roman" w:cs="Times New Roman"/>
          <w:sz w:val="24"/>
          <w:szCs w:val="24"/>
        </w:rPr>
      </w:pPr>
      <w:r w:rsidRPr="00CC14E0">
        <w:rPr>
          <w:rFonts w:ascii="Times New Roman" w:eastAsia="Times New Roman" w:hAnsi="Times New Roman" w:cs="Times New Roman"/>
          <w:sz w:val="24"/>
          <w:szCs w:val="24"/>
        </w:rPr>
        <w:lastRenderedPageBreak/>
        <w:t xml:space="preserve">Penelitian ini juga memadukan pendekatan penelitian hukum normatif, dengan fokus pada eksplorasi hukum positif, prinsip-prinsip hukum, struktur hukum, serta sejauh mana keselarasan vertikal dan horizontal dapat dicapai </w:t>
      </w:r>
      <w:sdt>
        <w:sdtPr>
          <w:rPr>
            <w:rFonts w:ascii="Times New Roman" w:eastAsia="Times New Roman" w:hAnsi="Times New Roman" w:cs="Times New Roman"/>
            <w:sz w:val="24"/>
            <w:szCs w:val="24"/>
          </w:rPr>
          <w:tag w:val="MENDELEY_CITATION_v3_eyJjaXRhdGlvbklEIjoiTUVOREVMRVlfQ0lUQVRJT05fMGExMmZiYWItMGFhNS00ZWFmLWIwOTEtODcyZDFkOGQ1Njcx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603449110"/>
          <w:placeholder>
            <w:docPart w:val="DefaultPlaceholder_-1854013440"/>
          </w:placeholder>
        </w:sdtPr>
        <w:sdtContent>
          <w:r w:rsidR="0060312A">
            <w:rPr>
              <w:rFonts w:eastAsia="Times New Roman"/>
            </w:rPr>
            <w:t>(Putranto &amp; Harvelian, 2023)</w:t>
          </w:r>
        </w:sdtContent>
      </w:sdt>
    </w:p>
    <w:p w14:paraId="00000020" w14:textId="2052049C" w:rsidR="00F62035" w:rsidRPr="00CC14E0" w:rsidRDefault="00000000">
      <w:pPr>
        <w:ind w:firstLine="720"/>
        <w:jc w:val="both"/>
        <w:rPr>
          <w:rFonts w:ascii="Times New Roman" w:eastAsia="Times New Roman" w:hAnsi="Times New Roman" w:cs="Times New Roman"/>
          <w:sz w:val="24"/>
          <w:szCs w:val="24"/>
        </w:rPr>
      </w:pPr>
      <w:r w:rsidRPr="00CC14E0">
        <w:rPr>
          <w:rFonts w:ascii="Times New Roman" w:eastAsia="Times New Roman" w:hAnsi="Times New Roman" w:cs="Times New Roman"/>
          <w:sz w:val="24"/>
          <w:szCs w:val="24"/>
        </w:rPr>
        <w:t xml:space="preserve">Selain itu, metode studi kepustakaan juga menjadi bagian integral dari penelitian ini, dipilih karena sumber literatur yang digunakan mencakup berbagai referensi, seperti buku, jurnal ilmiah, dan tulisan lainnya. Pendekatan peraturan perundang-undangan (statute approach) digunakan untuk mengumpulkan semua undang-undang dan regulasi yang relevan dengan isu hukum yang sedang diteliti, terutama dalam konteks perlindungan hukum terhadap justice collaborator dalam tindak pidana narkotika </w:t>
      </w:r>
      <w:sdt>
        <w:sdtPr>
          <w:rPr>
            <w:rFonts w:ascii="Times New Roman" w:eastAsia="Times New Roman" w:hAnsi="Times New Roman" w:cs="Times New Roman"/>
            <w:color w:val="000000"/>
            <w:sz w:val="24"/>
            <w:szCs w:val="24"/>
          </w:rPr>
          <w:tag w:val="MENDELEY_CITATION_v3_eyJjaXRhdGlvbklEIjoiTUVOREVMRVlfQ0lUQVRJT05fNGMzNjAwMDMtZjM1NC00OWYwLWFjODctODRiOTdlZjVlZTZj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
          <w:id w:val="-113987457"/>
          <w:placeholder>
            <w:docPart w:val="DefaultPlaceholder_-1854013440"/>
          </w:placeholder>
        </w:sdtPr>
        <w:sdtContent>
          <w:r w:rsidR="0060312A" w:rsidRPr="0060312A">
            <w:rPr>
              <w:rFonts w:ascii="Times New Roman" w:eastAsia="Times New Roman" w:hAnsi="Times New Roman" w:cs="Times New Roman"/>
              <w:color w:val="000000"/>
              <w:sz w:val="24"/>
              <w:szCs w:val="24"/>
            </w:rPr>
            <w:t>(Dames Lewansorna et al., 2022)</w:t>
          </w:r>
        </w:sdtContent>
      </w:sdt>
      <w:r w:rsidRPr="00CC14E0">
        <w:rPr>
          <w:rFonts w:ascii="Times New Roman" w:eastAsia="Times New Roman" w:hAnsi="Times New Roman" w:cs="Times New Roman"/>
          <w:sz w:val="24"/>
          <w:szCs w:val="24"/>
        </w:rPr>
        <w:t xml:space="preserve"> Selain itu, pendekatan studi pustaka digunakan untuk memahami latar belakang permasalahan dan interaksi individu dalam suatu unit sosial atau kelompok secara mendalam, utuh, holistic, intensif, dan naturalistik </w:t>
      </w:r>
      <w:sdt>
        <w:sdtPr>
          <w:rPr>
            <w:rFonts w:ascii="Times New Roman" w:eastAsia="Times New Roman" w:hAnsi="Times New Roman" w:cs="Times New Roman"/>
            <w:color w:val="000000"/>
            <w:sz w:val="24"/>
            <w:szCs w:val="24"/>
          </w:rPr>
          <w:tag w:val="MENDELEY_CITATION_v3_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"/>
          <w:id w:val="1063684123"/>
          <w:placeholder>
            <w:docPart w:val="DefaultPlaceholder_-1854013440"/>
          </w:placeholder>
        </w:sdtPr>
        <w:sdtContent>
          <w:r w:rsidR="0060312A" w:rsidRPr="0060312A">
            <w:rPr>
              <w:rFonts w:ascii="Times New Roman" w:eastAsia="Times New Roman" w:hAnsi="Times New Roman" w:cs="Times New Roman"/>
              <w:color w:val="000000"/>
              <w:sz w:val="24"/>
              <w:szCs w:val="24"/>
            </w:rPr>
            <w:t>(Robbani, 2022)</w:t>
          </w:r>
        </w:sdtContent>
      </w:sdt>
    </w:p>
    <w:p w14:paraId="00000021" w14:textId="20C81CEC" w:rsidR="00F62035" w:rsidRPr="00CC14E0" w:rsidRDefault="00000000">
      <w:pPr>
        <w:ind w:firstLine="720"/>
        <w:jc w:val="both"/>
        <w:rPr>
          <w:rFonts w:ascii="Times New Roman" w:eastAsia="Times New Roman" w:hAnsi="Times New Roman" w:cs="Times New Roman"/>
          <w:sz w:val="24"/>
          <w:szCs w:val="24"/>
        </w:rPr>
      </w:pPr>
      <w:r w:rsidRPr="00CC14E0">
        <w:rPr>
          <w:rFonts w:ascii="Times New Roman" w:eastAsia="Times New Roman" w:hAnsi="Times New Roman" w:cs="Times New Roman"/>
          <w:sz w:val="24"/>
          <w:szCs w:val="24"/>
        </w:rPr>
        <w:t xml:space="preserve">Dalam proses penelitian ini, sumber hukum dibagi menjadi dua kategori, yaitu sumber utama dan sumber sekunder. Sumber utama mencakup semua dokumen hukum yang dikeluarkan oleh lembaga pemerintahan yang memiliki kewenangan dalam merumuskan peraturan hukum, serta dokumen yang memiliki keterkaitan hukum dengan pihak-pihak yang terlibat dalam proses pembuatannya dan memiliki kekuatan mengikat (Irawan, 2020). Di sisi lain, sumber sekunder merujuk pada materi hukum yang memiliki pengaruh yang kurang signifikan secara hukum, tetapi memiliki nilai persuasif dan digunakan sebagai referensi dan dukungan bagi sumber utama </w:t>
      </w:r>
      <w:sdt>
        <w:sdtPr>
          <w:rPr>
            <w:rFonts w:ascii="Times New Roman" w:eastAsia="Times New Roman" w:hAnsi="Times New Roman" w:cs="Times New Roman"/>
            <w:color w:val="000000"/>
            <w:sz w:val="24"/>
            <w:szCs w:val="24"/>
          </w:rPr>
          <w:tag w:val="MENDELEY_CITATION_v3_eyJjaXRhdGlvbklEIjoiTUVOREVMRVlfQ0lUQVRJT05fZTc4MTRiNTktZDY5OC00NGNmLTkzMDItMTJkOTFkYjY5ODYw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606609032"/>
          <w:placeholder>
            <w:docPart w:val="DefaultPlaceholder_-1854013440"/>
          </w:placeholder>
        </w:sdtPr>
        <w:sdtContent>
          <w:r w:rsidR="0060312A" w:rsidRPr="0060312A">
            <w:rPr>
              <w:rFonts w:ascii="Times New Roman" w:eastAsia="Times New Roman" w:hAnsi="Times New Roman" w:cs="Times New Roman"/>
              <w:color w:val="000000"/>
              <w:sz w:val="24"/>
              <w:szCs w:val="24"/>
            </w:rPr>
            <w:t>(Irawan, 2020)</w:t>
          </w:r>
        </w:sdtContent>
      </w:sdt>
      <w:r w:rsidRPr="00CC14E0">
        <w:rPr>
          <w:rFonts w:ascii="Times New Roman" w:eastAsia="Times New Roman" w:hAnsi="Times New Roman" w:cs="Times New Roman"/>
          <w:sz w:val="24"/>
          <w:szCs w:val="24"/>
        </w:rPr>
        <w:t xml:space="preserve"> Dalam upaya mencari materi hukum, pendekatan studi kepustakaan digunakan, dan analisis kualitatif diterapkan untuk mengevaluasi temuan (Lewansorna et al., 2022)</w:t>
      </w:r>
    </w:p>
    <w:p w14:paraId="00000022" w14:textId="77777777" w:rsidR="00F62035" w:rsidRPr="00CC14E0" w:rsidRDefault="00F62035">
      <w:pPr>
        <w:ind w:firstLine="720"/>
        <w:jc w:val="both"/>
        <w:rPr>
          <w:rFonts w:ascii="Times New Roman" w:eastAsia="Times New Roman" w:hAnsi="Times New Roman" w:cs="Times New Roman"/>
          <w:sz w:val="24"/>
          <w:szCs w:val="24"/>
        </w:rPr>
      </w:pPr>
    </w:p>
    <w:p w14:paraId="00000023" w14:textId="77777777" w:rsidR="00F62035" w:rsidRPr="00CC14E0" w:rsidRDefault="00000000">
      <w:pPr>
        <w:numPr>
          <w:ilvl w:val="0"/>
          <w:numId w:val="1"/>
        </w:numPr>
        <w:jc w:val="both"/>
        <w:rPr>
          <w:rFonts w:ascii="Times New Roman" w:eastAsia="Times New Roman" w:hAnsi="Times New Roman" w:cs="Times New Roman"/>
          <w:b/>
          <w:sz w:val="24"/>
          <w:szCs w:val="24"/>
        </w:rPr>
      </w:pPr>
      <w:r w:rsidRPr="00CC14E0">
        <w:rPr>
          <w:rFonts w:ascii="Times New Roman" w:eastAsia="Times New Roman" w:hAnsi="Times New Roman" w:cs="Times New Roman"/>
          <w:b/>
          <w:sz w:val="24"/>
          <w:szCs w:val="24"/>
        </w:rPr>
        <w:t>Hasil dan Pembahasan</w:t>
      </w:r>
    </w:p>
    <w:p w14:paraId="00000024" w14:textId="77777777" w:rsidR="00F62035" w:rsidRPr="00CC14E0" w:rsidRDefault="00000000">
      <w:pPr>
        <w:ind w:firstLine="720"/>
        <w:jc w:val="both"/>
        <w:rPr>
          <w:rFonts w:ascii="Times New Roman" w:eastAsia="Times New Roman" w:hAnsi="Times New Roman" w:cs="Times New Roman"/>
          <w:b/>
          <w:sz w:val="24"/>
          <w:szCs w:val="24"/>
        </w:rPr>
      </w:pPr>
      <w:r w:rsidRPr="00CC14E0">
        <w:rPr>
          <w:rFonts w:ascii="Times New Roman" w:eastAsia="Times New Roman" w:hAnsi="Times New Roman" w:cs="Times New Roman"/>
          <w:b/>
          <w:sz w:val="24"/>
          <w:szCs w:val="24"/>
        </w:rPr>
        <w:t>Hasil</w:t>
      </w:r>
    </w:p>
    <w:p w14:paraId="00000025" w14:textId="792B16E2" w:rsidR="00F62035" w:rsidRPr="00CC14E0" w:rsidRDefault="00000000">
      <w:pPr>
        <w:ind w:firstLine="720"/>
        <w:jc w:val="both"/>
        <w:rPr>
          <w:rFonts w:ascii="Times New Roman" w:eastAsia="Times New Roman" w:hAnsi="Times New Roman" w:cs="Times New Roman"/>
          <w:sz w:val="24"/>
          <w:szCs w:val="24"/>
        </w:rPr>
      </w:pPr>
      <w:r w:rsidRPr="00CC14E0">
        <w:rPr>
          <w:rFonts w:ascii="Times New Roman" w:eastAsia="Times New Roman" w:hAnsi="Times New Roman" w:cs="Times New Roman"/>
          <w:sz w:val="24"/>
          <w:szCs w:val="24"/>
        </w:rPr>
        <w:t xml:space="preserve">Aparat penegak hukum semakin mengandalkan kesaksian, kerjasama, dan petunjuk yang diberikan oleh rekan-rekan pelaku kejahatan untuk memerangi kelompok kejahatan mereka sendiri. Tingkat keterlibatan informan dalam tindak pidana sangat memengaruhi manfaat yang dapat diberikan oleh mereka. Memotivasi seseorang untuk melaporkan atau berperan sebagai informan tidaklah mudah, terutama ketika ia menyadari bahwa akhirnya ia juga bisa menjadi tersangka dalam perkara yang sama. Selain itu, mereka yang harus memberikan kesaksian dalam tindak pidana yang melibatkan kelompok kejahatan terorganisir, termasuk tindak pidana narkotika, seringkali merasakan rasa takut akan ancaman yang bisa membahayakan diri mereka dan keluarga mereka </w:t>
      </w:r>
      <w:sdt>
        <w:sdtPr>
          <w:rPr>
            <w:rFonts w:ascii="Times New Roman" w:eastAsia="Times New Roman" w:hAnsi="Times New Roman" w:cs="Times New Roman"/>
            <w:sz w:val="24"/>
            <w:szCs w:val="24"/>
          </w:rPr>
          <w:tag w:val="MENDELEY_CITATION_v3_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"/>
          <w:id w:val="-1119597907"/>
          <w:placeholder>
            <w:docPart w:val="DefaultPlaceholder_-1854013440"/>
          </w:placeholder>
        </w:sdtPr>
        <w:sdtContent>
          <w:r w:rsidR="0060312A">
            <w:rPr>
              <w:rFonts w:eastAsia="Times New Roman"/>
            </w:rPr>
            <w:t>(Jardan &amp; Mulyati, 2023)</w:t>
          </w:r>
        </w:sdtContent>
      </w:sdt>
    </w:p>
    <w:p w14:paraId="00000026" w14:textId="3EAE2D4B" w:rsidR="00F62035" w:rsidRPr="00CC14E0" w:rsidRDefault="00000000">
      <w:pPr>
        <w:ind w:firstLine="720"/>
        <w:jc w:val="both"/>
        <w:rPr>
          <w:rFonts w:ascii="Times New Roman" w:eastAsia="Times New Roman" w:hAnsi="Times New Roman" w:cs="Times New Roman"/>
          <w:sz w:val="24"/>
          <w:szCs w:val="24"/>
        </w:rPr>
      </w:pPr>
      <w:r w:rsidRPr="00CC14E0">
        <w:rPr>
          <w:rFonts w:ascii="Times New Roman" w:eastAsia="Times New Roman" w:hAnsi="Times New Roman" w:cs="Times New Roman"/>
          <w:sz w:val="24"/>
          <w:szCs w:val="24"/>
        </w:rPr>
        <w:t xml:space="preserve">Dalam konteks peradilan, tahap pembuktian memegang peranan kunci dalam proses hukum, terutama dalam kasus-kasus yang melibatkan kejahatan terorganisir seperti korupsi, narkotika, psikotropika, pencucian uang, perdagangan manusia, dan lainnya. Dalam usaha mengungkap kasus-kasus ini, peran whistleblower dan Justice Collaborator menjadi sangat penting. Mereka tampil sebagai respons terhadap kesulitan yang dihadapi oleh penyidik dan penuntut umum dalam menghadapi pelaku kejahatan terorganisir yang merugikan negara dan masyarakat </w:t>
      </w:r>
      <w:sdt>
        <w:sdtPr>
          <w:rPr>
            <w:rFonts w:ascii="Times New Roman" w:eastAsia="Times New Roman" w:hAnsi="Times New Roman" w:cs="Times New Roman"/>
            <w:color w:val="000000"/>
            <w:sz w:val="24"/>
            <w:szCs w:val="24"/>
          </w:rPr>
          <w:tag w:val="MENDELEY_CITATION_v3_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"/>
          <w:id w:val="-1035725601"/>
          <w:placeholder>
            <w:docPart w:val="DefaultPlaceholder_-1854013440"/>
          </w:placeholder>
        </w:sdtPr>
        <w:sdtContent>
          <w:r w:rsidR="0060312A" w:rsidRPr="0060312A">
            <w:rPr>
              <w:rFonts w:ascii="Times New Roman" w:eastAsia="Times New Roman" w:hAnsi="Times New Roman" w:cs="Times New Roman"/>
              <w:color w:val="000000"/>
              <w:sz w:val="24"/>
              <w:szCs w:val="24"/>
            </w:rPr>
            <w:t>(Yolanda et al., 2016)</w:t>
          </w:r>
        </w:sdtContent>
      </w:sdt>
    </w:p>
    <w:p w14:paraId="00000027" w14:textId="77777777" w:rsidR="00F62035" w:rsidRPr="00CC14E0" w:rsidRDefault="00000000">
      <w:pPr>
        <w:ind w:firstLine="720"/>
        <w:jc w:val="both"/>
        <w:rPr>
          <w:rFonts w:ascii="Times New Roman" w:eastAsia="Times New Roman" w:hAnsi="Times New Roman" w:cs="Times New Roman"/>
          <w:sz w:val="24"/>
          <w:szCs w:val="24"/>
        </w:rPr>
      </w:pPr>
      <w:r w:rsidRPr="00CC14E0">
        <w:rPr>
          <w:rFonts w:ascii="Times New Roman" w:eastAsia="Times New Roman" w:hAnsi="Times New Roman" w:cs="Times New Roman"/>
          <w:sz w:val="24"/>
          <w:szCs w:val="24"/>
        </w:rPr>
        <w:t xml:space="preserve">Justice Collaborator adalah individu yang terlibat dalam kejahatan dan bersedia bekerjasama dengan aparat penegak hukum untuk mengungkap kejahatan yang mereka ketahui. Peran mereka dapat berupa menjadi saksi, pelapor, atau informan yang memberikan </w:t>
      </w:r>
      <w:r w:rsidRPr="00CC14E0">
        <w:rPr>
          <w:rFonts w:ascii="Times New Roman" w:eastAsia="Times New Roman" w:hAnsi="Times New Roman" w:cs="Times New Roman"/>
          <w:sz w:val="24"/>
          <w:szCs w:val="24"/>
        </w:rPr>
        <w:lastRenderedPageBreak/>
        <w:t>informasi penting, bukti yang kuat, atau kesaksian yang bersumpah untuk membantu proses penegakan hukum dalam mengungkap suatu tindak kejahatan yang melibatkan mereka (Bebry, 2023)</w:t>
      </w:r>
    </w:p>
    <w:p w14:paraId="00000028" w14:textId="77777777" w:rsidR="00F62035" w:rsidRPr="00CC14E0" w:rsidRDefault="00000000">
      <w:pPr>
        <w:ind w:firstLine="720"/>
        <w:jc w:val="both"/>
        <w:rPr>
          <w:rFonts w:ascii="Times New Roman" w:eastAsia="Times New Roman" w:hAnsi="Times New Roman" w:cs="Times New Roman"/>
          <w:sz w:val="24"/>
          <w:szCs w:val="24"/>
        </w:rPr>
      </w:pPr>
      <w:r w:rsidRPr="00CC14E0">
        <w:rPr>
          <w:rFonts w:ascii="Times New Roman" w:eastAsia="Times New Roman" w:hAnsi="Times New Roman" w:cs="Times New Roman"/>
          <w:sz w:val="24"/>
          <w:szCs w:val="24"/>
        </w:rPr>
        <w:t>Dalam konteks peredaran narkotika, pentingnya prinsip Justice Collaborator sangat terlihat dalam mengungkap jaringan yang kompleks dan merusak dalam peredaran narkotika. Tindak pidana narkotika merupakan salah satu bentuk kejahatan internasional dan terorganisasi, seringkali melibatkan sindikat yang terorganisasi dengan baik dan beroperasi dalam rahasia. Mengungkap kasus seperti ini seringkali dipersulit karena sindikat ini mematuhi kode etik aksi tutup mulut (omerta), yang menjadikannya sulit diidentifikasi dan dihentikan selama proses penyelidikan (Sihite, 2023)</w:t>
      </w:r>
    </w:p>
    <w:p w14:paraId="00000029" w14:textId="77777777" w:rsidR="00F62035" w:rsidRPr="00CC14E0" w:rsidRDefault="00F62035">
      <w:pPr>
        <w:ind w:left="720"/>
        <w:jc w:val="both"/>
        <w:rPr>
          <w:rFonts w:ascii="Times New Roman" w:eastAsia="Times New Roman" w:hAnsi="Times New Roman" w:cs="Times New Roman"/>
          <w:color w:val="980000"/>
          <w:sz w:val="24"/>
          <w:szCs w:val="24"/>
        </w:rPr>
      </w:pPr>
    </w:p>
    <w:p w14:paraId="0000002A" w14:textId="77777777" w:rsidR="00F62035" w:rsidRPr="00CC14E0" w:rsidRDefault="00000000">
      <w:pPr>
        <w:ind w:firstLine="720"/>
        <w:jc w:val="both"/>
        <w:rPr>
          <w:rFonts w:ascii="Times New Roman" w:eastAsia="Times New Roman" w:hAnsi="Times New Roman" w:cs="Times New Roman"/>
          <w:sz w:val="24"/>
          <w:szCs w:val="24"/>
        </w:rPr>
      </w:pPr>
      <w:r w:rsidRPr="00CC14E0">
        <w:rPr>
          <w:rFonts w:ascii="Times New Roman" w:eastAsia="Times New Roman" w:hAnsi="Times New Roman" w:cs="Times New Roman"/>
          <w:b/>
          <w:sz w:val="24"/>
          <w:szCs w:val="24"/>
        </w:rPr>
        <w:t>Pembahasan</w:t>
      </w:r>
    </w:p>
    <w:p w14:paraId="0000002B" w14:textId="77777777" w:rsidR="00F62035" w:rsidRPr="00CC14E0" w:rsidRDefault="00000000">
      <w:pPr>
        <w:ind w:firstLine="720"/>
        <w:jc w:val="both"/>
        <w:rPr>
          <w:rFonts w:ascii="Times New Roman" w:eastAsia="Times New Roman" w:hAnsi="Times New Roman" w:cs="Times New Roman"/>
          <w:sz w:val="24"/>
          <w:szCs w:val="24"/>
        </w:rPr>
      </w:pPr>
      <w:r w:rsidRPr="00CC14E0">
        <w:rPr>
          <w:rFonts w:ascii="Times New Roman" w:eastAsia="Times New Roman" w:hAnsi="Times New Roman" w:cs="Times New Roman"/>
          <w:sz w:val="24"/>
          <w:szCs w:val="24"/>
        </w:rPr>
        <w:t>Proses dan pelaksanaan mekanisme penerapan saksi pelaku yang berkolaborasi dalam kasus tindak pidana, khususnya dalam konteks narkotika, berawal dari langkah Permohonan yang diajukan oleh terdakwa untuk menjadi Justice Collaborator. Undang-Undang Perlindungan Saksi dan Korban Tahun 2014 memberikan peluang kepada penegak hukum untuk memberikan status Justice Collaborator sejak tahap penyelidikan. Pemohon Justice Collaborator atau kuasa hukum mereka dapat mengajukan permohonan secara tertulis kepada lembaga yang berwenang, yaitu Lembaga Perlindungan Saksi dan Korban (LPSK) dan Badan Narkotika Nasional (BNN). Setelah permohonan diajukan, LPSK dan BNN akan melakukan pemeriksaan terhadap tersangka yang terlibat berdasarkan Pedoman Mahkamah Agung Nomor 4 Tahun 2011. Hasil dari pemeriksaan ini akan menjadi bagian dari proses penyelidikan, dan jika memenuhi syarat yang ditetapkan, LPSK akan merekomendasikan secara tertulis kepada Jaksa Agung dan Kepala Badan Narkotika Nasional untuk memberikan status Justice Collaborator kepada terdakwa. Selain itu, LPSK akan secara aktif mempertimbangkan obyektivitas dalam memberikan status Justice Collaborator dan menilai apakah tersangka layak untuk mendapat status tersebut.</w:t>
      </w:r>
    </w:p>
    <w:p w14:paraId="0000002C" w14:textId="153734EA" w:rsidR="00F62035" w:rsidRPr="00CC14E0" w:rsidRDefault="00000000">
      <w:pPr>
        <w:ind w:firstLine="720"/>
        <w:jc w:val="both"/>
        <w:rPr>
          <w:rFonts w:ascii="Times New Roman" w:eastAsia="Times New Roman" w:hAnsi="Times New Roman" w:cs="Times New Roman"/>
          <w:sz w:val="24"/>
          <w:szCs w:val="24"/>
        </w:rPr>
      </w:pPr>
      <w:r w:rsidRPr="00CC14E0">
        <w:rPr>
          <w:rFonts w:ascii="Times New Roman" w:eastAsia="Times New Roman" w:hAnsi="Times New Roman" w:cs="Times New Roman"/>
          <w:sz w:val="24"/>
          <w:szCs w:val="24"/>
        </w:rPr>
        <w:t xml:space="preserve">Selama tahap penuntutan, Penuntut Umum akan memasukkan pertimbangan tersebut dalam tuntutan berdasarkan status Justice Collaborator yang telah ditetapkan. LPSK juga akan memberikan perlindungan kepada Justice Collaborator. Penegak hukum akan mengevaluasi keterangan dan bukti yang diberikan oleh individu yang berkeinginan menjadi Justice Collaborator. Tersangka yang mengajukan permohonan status Justice Collaborator harus menunjukkan niat baik, bersikap kooperatif, dan memberikan informasi yang valid serta dapat dipercaya oleh penegak hukum </w:t>
      </w:r>
      <w:sdt>
        <w:sdtPr>
          <w:rPr>
            <w:rFonts w:ascii="Times New Roman" w:eastAsia="Times New Roman" w:hAnsi="Times New Roman" w:cs="Times New Roman"/>
            <w:color w:val="000000"/>
            <w:sz w:val="24"/>
            <w:szCs w:val="24"/>
          </w:rPr>
          <w:tag w:val="MENDELEY_CITATION_v3_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"/>
          <w:id w:val="82811414"/>
          <w:placeholder>
            <w:docPart w:val="DefaultPlaceholder_-1854013440"/>
          </w:placeholder>
        </w:sdtPr>
        <w:sdtContent>
          <w:r w:rsidR="0060312A" w:rsidRPr="0060312A">
            <w:rPr>
              <w:rFonts w:ascii="Times New Roman" w:eastAsia="Times New Roman" w:hAnsi="Times New Roman" w:cs="Times New Roman"/>
              <w:color w:val="000000"/>
              <w:sz w:val="24"/>
              <w:szCs w:val="24"/>
            </w:rPr>
            <w:t>(Situmeang et al., 2022)</w:t>
          </w:r>
        </w:sdtContent>
      </w:sdt>
    </w:p>
    <w:p w14:paraId="771A6EB4" w14:textId="77777777" w:rsidR="0060312A" w:rsidRDefault="0060312A">
      <w:pPr>
        <w:ind w:firstLine="720"/>
        <w:jc w:val="both"/>
        <w:rPr>
          <w:rFonts w:ascii="Times New Roman" w:eastAsia="Times New Roman" w:hAnsi="Times New Roman" w:cs="Times New Roman"/>
          <w:sz w:val="24"/>
          <w:szCs w:val="24"/>
        </w:rPr>
      </w:pPr>
      <w:r w:rsidRPr="0060312A">
        <w:rPr>
          <w:rFonts w:ascii="Times New Roman" w:eastAsia="Times New Roman" w:hAnsi="Times New Roman" w:cs="Times New Roman"/>
          <w:sz w:val="24"/>
          <w:szCs w:val="24"/>
        </w:rPr>
        <w:t xml:space="preserve">Perlindungan terhadap Justice Collaborator diatur dalam Surat Edaran Mahkamah Agung Republik Indonesia (SEMA RI) Nomor 4 Tahun 2011 yang merinci pengaturan mengenai individu yang melaporkan tindak pidana (Whistleblower) dan individu yang berperan sebagai saksi pelaku yang bekerjasama (Justice Collaborator) dalam perkara tindak pidana tertentu. SEMA RI ini memberikan ketentuan yang lebih rinci tentang persyaratan yang harus dipenuhi oleh pelaku tindak pidana agar diakui sebagai saksi pelaku yang bekerjasama dengan pihak penegak hukum dalam mengungkap tindak pidana tersebut. Persyaratan ini mencakup bahwa individu tersebut harus terlibat dalam suatu tindak pidana tertentu, mengakui perbuatannya, bukan pelaku utama, dan memberikan kesaksian selama proses peradilan. SEMA RI juga menegaskan bahwa Jaksa Penuntut Umum dalam surat tuntutannya perlu </w:t>
      </w:r>
      <w:r w:rsidRPr="0060312A">
        <w:rPr>
          <w:rFonts w:ascii="Times New Roman" w:eastAsia="Times New Roman" w:hAnsi="Times New Roman" w:cs="Times New Roman"/>
          <w:sz w:val="24"/>
          <w:szCs w:val="24"/>
        </w:rPr>
        <w:lastRenderedPageBreak/>
        <w:t>menyebutkan bahwa individu tersebut telah memberikan keterangan dan bukti yang sangat penting sehingga penyidik atau Jaksa Penuntut Umum dapat mengungkap tindak pidana tersebut dengan efektif, mengidentifikasi pelaku lain yang memiliki peran lebih besar, atau mengembalikan aset-aset atau hasil dari tindak pidana tersebut (Amin, 2020)</w:t>
      </w:r>
    </w:p>
    <w:p w14:paraId="0000002F" w14:textId="09DA7A19" w:rsidR="00F62035" w:rsidRDefault="0060312A">
      <w:pPr>
        <w:ind w:firstLine="720"/>
        <w:jc w:val="both"/>
        <w:rPr>
          <w:rFonts w:ascii="Times New Roman" w:eastAsia="Times New Roman" w:hAnsi="Times New Roman" w:cs="Times New Roman"/>
          <w:sz w:val="24"/>
          <w:szCs w:val="24"/>
        </w:rPr>
      </w:pPr>
      <w:r w:rsidRPr="0060312A">
        <w:rPr>
          <w:rFonts w:ascii="Times New Roman" w:eastAsia="Times New Roman" w:hAnsi="Times New Roman" w:cs="Times New Roman"/>
          <w:sz w:val="24"/>
          <w:szCs w:val="24"/>
        </w:rPr>
        <w:t>Adapun dalam hal perlindungan hukum bagi Justice Collaborator, diatur dalam Pasal 10A dalam peraturan tersebut yang menjelaskan bahwa Saksi Pelaku diberikan perlakuan istimewa selama proses pemeriksaan dan diberikan penghargaan atas kesaksian yang diberikannya. Perlakuan istimewa ini mencakup tindakan pemisahan tempat penahanan atau lokasi pelaksanaan hukuman antara Saksi Pelaku dengan tersangka, terdakwa, dan/atau narapidana lain yang terlibat dalam tindak pidana yang telah diungkap oleh Saksi Pelaku. Selain itu, berkas Saksi Pelaku juga dipisahkan dari berkas yang berhubungan dengan tersangka dan terdakwa selama proses penyelidikan dan penuntutan terhadap tindak pidana yang diungkapkan oleh Saksi Pelaku. Penghargaan atas kesaksian yang disampaikan oleh Saksi Pelaku dapat berupa pengurangan hukuman, pembebasan bersyarat, pemberian remisi tambahan, dan pemberian hak narapidana lainnya sesuai dengan peraturan perundang-undangan yang berlaku bagi Saksi Pelaku yang memiliki status sebagai narapidana. Proses ini juga melibatkan aktifitas Lembaga Perlindungan Saksi dan Korban (LPSK), yang memberikan rekomendasi tertulis kepada penuntut umum untuk dimasukkan dalam tuntutan yang diajukan kepada hakim (Syarif et al., 2020)</w:t>
      </w:r>
    </w:p>
    <w:p w14:paraId="6FAF1F91" w14:textId="77777777" w:rsidR="0060312A" w:rsidRPr="00CC14E0" w:rsidRDefault="0060312A">
      <w:pPr>
        <w:ind w:firstLine="720"/>
        <w:jc w:val="both"/>
        <w:rPr>
          <w:rFonts w:ascii="Times New Roman" w:eastAsia="Times New Roman" w:hAnsi="Times New Roman" w:cs="Times New Roman"/>
          <w:sz w:val="24"/>
          <w:szCs w:val="24"/>
        </w:rPr>
      </w:pPr>
    </w:p>
    <w:p w14:paraId="00000030" w14:textId="77777777" w:rsidR="00F62035" w:rsidRPr="00CC14E0" w:rsidRDefault="00000000">
      <w:pPr>
        <w:numPr>
          <w:ilvl w:val="0"/>
          <w:numId w:val="1"/>
        </w:numPr>
        <w:jc w:val="both"/>
        <w:rPr>
          <w:rFonts w:ascii="Times New Roman" w:eastAsia="Times New Roman" w:hAnsi="Times New Roman" w:cs="Times New Roman"/>
          <w:b/>
          <w:sz w:val="24"/>
          <w:szCs w:val="24"/>
        </w:rPr>
      </w:pPr>
      <w:r w:rsidRPr="00CC14E0">
        <w:rPr>
          <w:rFonts w:ascii="Times New Roman" w:eastAsia="Times New Roman" w:hAnsi="Times New Roman" w:cs="Times New Roman"/>
          <w:b/>
          <w:sz w:val="24"/>
          <w:szCs w:val="24"/>
        </w:rPr>
        <w:t>Kesimpulan</w:t>
      </w:r>
    </w:p>
    <w:p w14:paraId="00000031" w14:textId="77777777" w:rsidR="00F62035" w:rsidRPr="00CC14E0" w:rsidRDefault="00000000">
      <w:pPr>
        <w:ind w:firstLine="720"/>
        <w:jc w:val="both"/>
        <w:rPr>
          <w:rFonts w:ascii="Times New Roman" w:eastAsia="Times New Roman" w:hAnsi="Times New Roman" w:cs="Times New Roman"/>
          <w:color w:val="222222"/>
          <w:sz w:val="24"/>
          <w:szCs w:val="24"/>
          <w:highlight w:val="white"/>
        </w:rPr>
      </w:pPr>
      <w:r w:rsidRPr="00CC14E0">
        <w:rPr>
          <w:rFonts w:ascii="Times New Roman" w:eastAsia="Times New Roman" w:hAnsi="Times New Roman" w:cs="Times New Roman"/>
          <w:color w:val="222222"/>
          <w:sz w:val="24"/>
          <w:szCs w:val="24"/>
          <w:highlight w:val="white"/>
        </w:rPr>
        <w:t>Indonesia, sebagai negara berlandaskan Pancasila dan Undang-Undang Dasar 1945, memiliki dasar yang kuat dalam menghormati Hak Asasi Manusia (HAM) dan menjamin kesetaraan hak warganya dalam ranah hukum dan pemerintahan. Prinsip-prinsip ini melibatkan pengakuan serta perlindungan HAM, kemerdekaan peradilan yang adil, ketidakberpihakan terhadap pihak berkuasa, dan legalitas tindakan aparat negara yang dapat dipertanggungjawabkan secara hukum.</w:t>
      </w:r>
    </w:p>
    <w:p w14:paraId="00000032" w14:textId="77777777" w:rsidR="00F62035" w:rsidRPr="00CC14E0" w:rsidRDefault="00000000">
      <w:pPr>
        <w:ind w:firstLine="720"/>
        <w:jc w:val="both"/>
        <w:rPr>
          <w:rFonts w:ascii="Times New Roman" w:eastAsia="Times New Roman" w:hAnsi="Times New Roman" w:cs="Times New Roman"/>
          <w:color w:val="222222"/>
          <w:sz w:val="24"/>
          <w:szCs w:val="24"/>
          <w:highlight w:val="white"/>
        </w:rPr>
      </w:pPr>
      <w:r w:rsidRPr="00CC14E0">
        <w:rPr>
          <w:rFonts w:ascii="Times New Roman" w:eastAsia="Times New Roman" w:hAnsi="Times New Roman" w:cs="Times New Roman"/>
          <w:color w:val="222222"/>
          <w:sz w:val="24"/>
          <w:szCs w:val="24"/>
          <w:highlight w:val="white"/>
        </w:rPr>
        <w:t>Dalam konteks narkotika, yang diatur oleh UU No. 35 Tahun 2009, Indonesia melihat narkotika sebagai tindak pidana serius yang berdampak buruk pada kesehatan dan masa depan generasi penerus bangsa. Untuk menghadapi tantangan ini, ada undang-undang khusus yang mengatur tindak pidana narkotika, dengan melibatkan berbagai lembaga pemerintahan.</w:t>
      </w:r>
    </w:p>
    <w:p w14:paraId="00000033" w14:textId="77777777" w:rsidR="00F62035" w:rsidRPr="00CC14E0" w:rsidRDefault="00000000">
      <w:pPr>
        <w:ind w:firstLine="720"/>
        <w:jc w:val="both"/>
        <w:rPr>
          <w:rFonts w:ascii="Times New Roman" w:eastAsia="Times New Roman" w:hAnsi="Times New Roman" w:cs="Times New Roman"/>
          <w:color w:val="222222"/>
          <w:sz w:val="24"/>
          <w:szCs w:val="24"/>
          <w:highlight w:val="white"/>
        </w:rPr>
      </w:pPr>
      <w:r w:rsidRPr="00CC14E0">
        <w:rPr>
          <w:rFonts w:ascii="Times New Roman" w:eastAsia="Times New Roman" w:hAnsi="Times New Roman" w:cs="Times New Roman"/>
          <w:color w:val="222222"/>
          <w:sz w:val="24"/>
          <w:szCs w:val="24"/>
          <w:highlight w:val="white"/>
        </w:rPr>
        <w:t>Di Indonesia, regulasi tentang Justice Collaborator diatur oleh Surat Edaran Mahkamah Agung Republik Indonesia (SEMA RI) Nomor 4 Tahun 2011, yang mengatur Perlakuan Bagi Pelapor Tindak Pidana (whistleblower) dan Saksi Pelaku Yang Bekerjasama (Justice Collaborator) Dalam Tindak Pidana Tertentu. Mereka adalah individu yang terlibat dalam tindak pidana, namun bersedia bekerja sama dengan otoritas penegak hukum untuk mengungkap kejahatan yang mereka ketahui, khususnya dalam kasus narkotika.</w:t>
      </w:r>
    </w:p>
    <w:p w14:paraId="00000034" w14:textId="77777777" w:rsidR="00F62035" w:rsidRPr="00CC14E0" w:rsidRDefault="00000000">
      <w:pPr>
        <w:ind w:firstLine="720"/>
        <w:jc w:val="both"/>
        <w:rPr>
          <w:rFonts w:ascii="Times New Roman" w:eastAsia="Times New Roman" w:hAnsi="Times New Roman" w:cs="Times New Roman"/>
          <w:color w:val="222222"/>
          <w:sz w:val="24"/>
          <w:szCs w:val="24"/>
          <w:highlight w:val="white"/>
        </w:rPr>
      </w:pPr>
      <w:r w:rsidRPr="00CC14E0">
        <w:rPr>
          <w:rFonts w:ascii="Times New Roman" w:eastAsia="Times New Roman" w:hAnsi="Times New Roman" w:cs="Times New Roman"/>
          <w:color w:val="222222"/>
          <w:sz w:val="24"/>
          <w:szCs w:val="24"/>
          <w:highlight w:val="white"/>
        </w:rPr>
        <w:t>Perlindungan hukum terhadap Justice Collaborator dalam konteks narkotika sangat penting untuk mengungkap jaringan yang kompleks dan merusak dalam peredaran narkotika. Tindak pidana narkotika sering melibatkan sindikat terorganisasi yang menjadikan pengungkapan kasus sulit karena mematuhi kode etik aksi tutup mulut (omerta). Oleh karena itu, regulasi dan perlindungan yang baik sangat dibutuhkan untuk memotivasi individu yang berkolaborasi dalam mengungkap tindak pidana narkotika.</w:t>
      </w:r>
    </w:p>
    <w:p w14:paraId="00000035" w14:textId="77777777" w:rsidR="00F62035" w:rsidRPr="00CC14E0" w:rsidRDefault="00000000">
      <w:pPr>
        <w:ind w:firstLine="720"/>
        <w:jc w:val="both"/>
        <w:rPr>
          <w:rFonts w:ascii="Times New Roman" w:eastAsia="Times New Roman" w:hAnsi="Times New Roman" w:cs="Times New Roman"/>
          <w:color w:val="222222"/>
          <w:sz w:val="24"/>
          <w:szCs w:val="24"/>
          <w:highlight w:val="white"/>
        </w:rPr>
      </w:pPr>
      <w:r w:rsidRPr="00CC14E0">
        <w:rPr>
          <w:rFonts w:ascii="Times New Roman" w:eastAsia="Times New Roman" w:hAnsi="Times New Roman" w:cs="Times New Roman"/>
          <w:color w:val="222222"/>
          <w:sz w:val="24"/>
          <w:szCs w:val="24"/>
          <w:highlight w:val="white"/>
        </w:rPr>
        <w:lastRenderedPageBreak/>
        <w:t>Dalam rangka meningkatkan efektivitas penegakan hukum terkait dengan narkotika dan tindak pidana terorganisir, penting bagi Indonesia untuk terus mengkaji konsep perlindungan hukum terhadap Justice Collaborator dalam kerangka sistem peradilan pidana saat ini dan untuk masa yang akan datang</w:t>
      </w:r>
    </w:p>
    <w:p w14:paraId="00000036" w14:textId="77777777" w:rsidR="00F62035" w:rsidRPr="00CC14E0" w:rsidRDefault="00F62035">
      <w:pPr>
        <w:ind w:firstLine="720"/>
        <w:jc w:val="both"/>
        <w:rPr>
          <w:rFonts w:ascii="Times New Roman" w:eastAsia="Times New Roman" w:hAnsi="Times New Roman" w:cs="Times New Roman"/>
          <w:color w:val="222222"/>
          <w:sz w:val="24"/>
          <w:szCs w:val="24"/>
          <w:highlight w:val="white"/>
        </w:rPr>
      </w:pPr>
    </w:p>
    <w:p w14:paraId="00000037" w14:textId="77777777" w:rsidR="00F62035" w:rsidRPr="00CC14E0" w:rsidRDefault="00F62035">
      <w:pPr>
        <w:ind w:firstLine="720"/>
        <w:jc w:val="both"/>
        <w:rPr>
          <w:rFonts w:ascii="Times New Roman" w:eastAsia="Times New Roman" w:hAnsi="Times New Roman" w:cs="Times New Roman"/>
          <w:color w:val="222222"/>
          <w:sz w:val="24"/>
          <w:szCs w:val="24"/>
          <w:highlight w:val="white"/>
        </w:rPr>
      </w:pPr>
    </w:p>
    <w:p w14:paraId="00000038" w14:textId="77777777" w:rsidR="00F62035" w:rsidRPr="00CC14E0" w:rsidRDefault="00000000">
      <w:pPr>
        <w:spacing w:before="20"/>
        <w:jc w:val="both"/>
        <w:rPr>
          <w:rFonts w:ascii="Times New Roman" w:eastAsia="Times New Roman" w:hAnsi="Times New Roman" w:cs="Times New Roman"/>
          <w:color w:val="222222"/>
          <w:sz w:val="24"/>
          <w:szCs w:val="24"/>
          <w:highlight w:val="white"/>
        </w:rPr>
      </w:pPr>
      <w:r w:rsidRPr="00CC14E0">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4"/>
          <w:szCs w:val="24"/>
          <w:highlight w:val="white"/>
        </w:rPr>
        <w:tag w:val="MENDELEY_BIBLIOGRAPHY"/>
        <w:id w:val="-400834898"/>
        <w:placeholder>
          <w:docPart w:val="DefaultPlaceholder_-1854013440"/>
        </w:placeholder>
      </w:sdtPr>
      <w:sdtEndPr>
        <w:rPr>
          <w:color w:val="1155CC"/>
          <w:u w:val="single"/>
        </w:rPr>
      </w:sdtEndPr>
      <w:sdtContent>
        <w:p w14:paraId="59929BEE" w14:textId="77777777" w:rsidR="0060312A" w:rsidRDefault="0060312A">
          <w:pPr>
            <w:autoSpaceDE w:val="0"/>
            <w:autoSpaceDN w:val="0"/>
            <w:ind w:hanging="480"/>
            <w:divId w:val="32852764"/>
            <w:rPr>
              <w:rFonts w:eastAsia="Times New Roman"/>
              <w:sz w:val="24"/>
              <w:szCs w:val="24"/>
            </w:rPr>
          </w:pPr>
          <w:r>
            <w:rPr>
              <w:rFonts w:eastAsia="Times New Roman"/>
            </w:rPr>
            <w:t xml:space="preserve">Amin, R. (2020). ANALISIS PERLINDUNGAN HUKUM SAKSI PELAKU YANG BEKERJASAMA (JUSTICE COLLABORATOR) PERKARA TINDAK PIDANA NARKOTIKA DALAM SISTEM PERADILAN PIDANA DI INDONESIA. </w:t>
          </w:r>
          <w:r>
            <w:rPr>
              <w:rFonts w:eastAsia="Times New Roman"/>
              <w:i/>
              <w:iCs/>
            </w:rPr>
            <w:t>Jurnal Hukum Sasana</w:t>
          </w:r>
          <w:r>
            <w:rPr>
              <w:rFonts w:eastAsia="Times New Roman"/>
            </w:rPr>
            <w:t xml:space="preserve">, </w:t>
          </w:r>
          <w:r>
            <w:rPr>
              <w:rFonts w:eastAsia="Times New Roman"/>
              <w:i/>
              <w:iCs/>
            </w:rPr>
            <w:t>6</w:t>
          </w:r>
          <w:r>
            <w:rPr>
              <w:rFonts w:eastAsia="Times New Roman"/>
            </w:rPr>
            <w:t>(2), 85–109. https://doi.org/10.31599/sasana.v6i2.271</w:t>
          </w:r>
        </w:p>
        <w:p w14:paraId="6874D1CD" w14:textId="77777777" w:rsidR="0060312A" w:rsidRDefault="0060312A">
          <w:pPr>
            <w:autoSpaceDE w:val="0"/>
            <w:autoSpaceDN w:val="0"/>
            <w:ind w:hanging="480"/>
            <w:divId w:val="241185365"/>
            <w:rPr>
              <w:rFonts w:eastAsia="Times New Roman"/>
            </w:rPr>
          </w:pPr>
          <w:r>
            <w:rPr>
              <w:rFonts w:eastAsia="Times New Roman"/>
            </w:rPr>
            <w:t xml:space="preserve">Bebry, M. (2023). </w:t>
          </w:r>
          <w:r>
            <w:rPr>
              <w:rFonts w:eastAsia="Times New Roman"/>
              <w:i/>
              <w:iCs/>
            </w:rPr>
            <w:t>PERLINDUNGAN HUKUM TERHADAP JUSTICE COLLABORATOR DALAM TINDAK PIDANA NARKOTIKA DIHUBUNGKAN DENGAN ASAS KEPASTIAN HUKUM</w:t>
          </w:r>
          <w:r>
            <w:rPr>
              <w:rFonts w:eastAsia="Times New Roman"/>
            </w:rPr>
            <w:t xml:space="preserve"> [Skripsi]. Universitas Pasundan.</w:t>
          </w:r>
        </w:p>
        <w:p w14:paraId="64A1853B" w14:textId="77777777" w:rsidR="0060312A" w:rsidRDefault="0060312A">
          <w:pPr>
            <w:autoSpaceDE w:val="0"/>
            <w:autoSpaceDN w:val="0"/>
            <w:ind w:hanging="480"/>
            <w:divId w:val="2058356763"/>
            <w:rPr>
              <w:rFonts w:eastAsia="Times New Roman"/>
            </w:rPr>
          </w:pPr>
          <w:r>
            <w:rPr>
              <w:rFonts w:eastAsia="Times New Roman"/>
            </w:rPr>
            <w:t xml:space="preserve">Dames Lewansorna, Rina, E., Toule, M., &amp; Sopacua, M. (2022). </w:t>
          </w:r>
          <w:r>
            <w:rPr>
              <w:rFonts w:eastAsia="Times New Roman"/>
              <w:i/>
              <w:iCs/>
            </w:rPr>
            <w:t>Pertanggungjawaban Pidana Aparat Kepolisian Yang Melakukan Kekerasan Terhadap Demonstran</w:t>
          </w:r>
          <w:r>
            <w:rPr>
              <w:rFonts w:eastAsia="Times New Roman"/>
            </w:rPr>
            <w:t xml:space="preserve"> (Vol. 2, Issue 1).</w:t>
          </w:r>
        </w:p>
        <w:p w14:paraId="23810785" w14:textId="77777777" w:rsidR="0060312A" w:rsidRDefault="0060312A">
          <w:pPr>
            <w:autoSpaceDE w:val="0"/>
            <w:autoSpaceDN w:val="0"/>
            <w:ind w:hanging="480"/>
            <w:divId w:val="1961372745"/>
            <w:rPr>
              <w:rFonts w:eastAsia="Times New Roman"/>
            </w:rPr>
          </w:pPr>
          <w:r>
            <w:rPr>
              <w:rFonts w:eastAsia="Times New Roman"/>
            </w:rPr>
            <w:t xml:space="preserve">Indra, R. (2023). </w:t>
          </w:r>
          <w:r>
            <w:rPr>
              <w:rFonts w:eastAsia="Times New Roman"/>
              <w:i/>
              <w:iCs/>
            </w:rPr>
            <w:t>Justice Collaborator Dalam Tindak Pidana Narkotika</w:t>
          </w:r>
          <w:r>
            <w:rPr>
              <w:rFonts w:eastAsia="Times New Roman"/>
            </w:rPr>
            <w:t xml:space="preserve"> [Skirpsi]. Universitas Jambi.</w:t>
          </w:r>
        </w:p>
        <w:p w14:paraId="280A400D" w14:textId="77777777" w:rsidR="0060312A" w:rsidRDefault="0060312A">
          <w:pPr>
            <w:autoSpaceDE w:val="0"/>
            <w:autoSpaceDN w:val="0"/>
            <w:ind w:hanging="480"/>
            <w:divId w:val="309286729"/>
            <w:rPr>
              <w:rFonts w:eastAsia="Times New Roman"/>
            </w:rPr>
          </w:pPr>
          <w:r>
            <w:rPr>
              <w:rFonts w:eastAsia="Times New Roman"/>
            </w:rPr>
            <w:t xml:space="preserve">Irawan, V. (2020). ANALISIS YURIDIS TERHADAP PELANGGARAN HAK CIPTA PERMAINAN VIDEO (VIDEO GAMES) BERUPA PEMBAJAKAN SECARA ONLINE. In </w:t>
          </w:r>
          <w:r>
            <w:rPr>
              <w:rFonts w:eastAsia="Times New Roman"/>
              <w:i/>
              <w:iCs/>
            </w:rPr>
            <w:t>Journal of Intellectual Property</w:t>
          </w:r>
          <w:r>
            <w:rPr>
              <w:rFonts w:eastAsia="Times New Roman"/>
            </w:rPr>
            <w:t xml:space="preserve"> (Vol. 3, Issue 2). www.journal.uii.ac.id/JIPRO</w:t>
          </w:r>
        </w:p>
        <w:p w14:paraId="2C47F82F" w14:textId="77777777" w:rsidR="0060312A" w:rsidRDefault="0060312A">
          <w:pPr>
            <w:autoSpaceDE w:val="0"/>
            <w:autoSpaceDN w:val="0"/>
            <w:ind w:hanging="480"/>
            <w:divId w:val="907111924"/>
            <w:rPr>
              <w:rFonts w:eastAsia="Times New Roman"/>
            </w:rPr>
          </w:pPr>
          <w:r>
            <w:rPr>
              <w:rFonts w:eastAsia="Times New Roman"/>
            </w:rPr>
            <w:t xml:space="preserve">Jardan, G., &amp; Mulyati, N. (2023). UNES Journal of Swara Justisia PERLINDUNGAN HUKUM TERHADAP JUSTICE COLLABORATOR DALAM MENGUNGKAP TINDAK PIDANA NARKOTIKA DITINJAU DARI ASAS KEADILAN (Studi Putusan di Pengadilan Negeri Pekanbaru). </w:t>
          </w:r>
          <w:r>
            <w:rPr>
              <w:rFonts w:eastAsia="Times New Roman"/>
              <w:i/>
              <w:iCs/>
            </w:rPr>
            <w:t>UNES Juornal of Swara Justisia</w:t>
          </w:r>
          <w:r>
            <w:rPr>
              <w:rFonts w:eastAsia="Times New Roman"/>
            </w:rPr>
            <w:t xml:space="preserve">, </w:t>
          </w:r>
          <w:r>
            <w:rPr>
              <w:rFonts w:eastAsia="Times New Roman"/>
              <w:i/>
              <w:iCs/>
            </w:rPr>
            <w:t>7</w:t>
          </w:r>
          <w:r>
            <w:rPr>
              <w:rFonts w:eastAsia="Times New Roman"/>
            </w:rPr>
            <w:t>(2). https://doi.org/10.31933/ujsj.v7i2</w:t>
          </w:r>
        </w:p>
        <w:p w14:paraId="6008E529" w14:textId="77777777" w:rsidR="0060312A" w:rsidRDefault="0060312A">
          <w:pPr>
            <w:autoSpaceDE w:val="0"/>
            <w:autoSpaceDN w:val="0"/>
            <w:ind w:hanging="480"/>
            <w:divId w:val="1156996175"/>
            <w:rPr>
              <w:rFonts w:eastAsia="Times New Roman"/>
            </w:rPr>
          </w:pPr>
          <w:r>
            <w:rPr>
              <w:rFonts w:eastAsia="Times New Roman"/>
            </w:rPr>
            <w:t xml:space="preserve">Putranto, R. D., &amp; Harvelian, A. (2023). Tanggung Jawab Pelaku Usaha dalam Transaksi Elektronik melalui Situs Internet di Tinjau dari Perspektif Hukum Perlindungan Konsumen. </w:t>
          </w:r>
          <w:r>
            <w:rPr>
              <w:rFonts w:eastAsia="Times New Roman"/>
              <w:i/>
              <w:iCs/>
            </w:rPr>
            <w:t>FOCUS</w:t>
          </w:r>
          <w:r>
            <w:rPr>
              <w:rFonts w:eastAsia="Times New Roman"/>
            </w:rPr>
            <w:t xml:space="preserve">, </w:t>
          </w:r>
          <w:r>
            <w:rPr>
              <w:rFonts w:eastAsia="Times New Roman"/>
              <w:i/>
              <w:iCs/>
            </w:rPr>
            <w:t>4</w:t>
          </w:r>
          <w:r>
            <w:rPr>
              <w:rFonts w:eastAsia="Times New Roman"/>
            </w:rPr>
            <w:t>(1), 36–41. https://doi.org/10.37010/fcs.v4i1.1153</w:t>
          </w:r>
        </w:p>
        <w:p w14:paraId="504C37AD" w14:textId="77777777" w:rsidR="0060312A" w:rsidRDefault="0060312A">
          <w:pPr>
            <w:autoSpaceDE w:val="0"/>
            <w:autoSpaceDN w:val="0"/>
            <w:ind w:hanging="480"/>
            <w:divId w:val="1807552774"/>
            <w:rPr>
              <w:rFonts w:eastAsia="Times New Roman"/>
            </w:rPr>
          </w:pPr>
          <w:r>
            <w:rPr>
              <w:rFonts w:eastAsia="Times New Roman"/>
            </w:rPr>
            <w:t xml:space="preserve">Robbani, H. (2022). Branding Strategy Lembaga Amil Zakat (LAZ) Zakat Sukses [Thesis]. In </w:t>
          </w:r>
          <w:r>
            <w:rPr>
              <w:rFonts w:eastAsia="Times New Roman"/>
              <w:i/>
              <w:iCs/>
            </w:rPr>
            <w:t>. Thesis (S2) Fisip Universitas Muhammadiyah Jakarta.</w:t>
          </w:r>
          <w:r>
            <w:rPr>
              <w:rFonts w:eastAsia="Times New Roman"/>
            </w:rPr>
            <w:t xml:space="preserve"> Universitas Muhammadiyah Jakarta.</w:t>
          </w:r>
        </w:p>
        <w:p w14:paraId="1700C343" w14:textId="77777777" w:rsidR="0060312A" w:rsidRDefault="0060312A">
          <w:pPr>
            <w:autoSpaceDE w:val="0"/>
            <w:autoSpaceDN w:val="0"/>
            <w:ind w:hanging="480"/>
            <w:divId w:val="695275666"/>
            <w:rPr>
              <w:rFonts w:eastAsia="Times New Roman"/>
            </w:rPr>
          </w:pPr>
          <w:r>
            <w:rPr>
              <w:rFonts w:eastAsia="Times New Roman"/>
            </w:rPr>
            <w:t xml:space="preserve">Robbani, H., &amp; Yuliana, N. (2022). Analysis of Factors Affecting Learning Difficulties during the Covid 19 Pandemic. </w:t>
          </w:r>
          <w:r>
            <w:rPr>
              <w:rFonts w:eastAsia="Times New Roman"/>
              <w:i/>
              <w:iCs/>
            </w:rPr>
            <w:t>FOCUS</w:t>
          </w:r>
          <w:r>
            <w:rPr>
              <w:rFonts w:eastAsia="Times New Roman"/>
            </w:rPr>
            <w:t xml:space="preserve">, </w:t>
          </w:r>
          <w:r>
            <w:rPr>
              <w:rFonts w:eastAsia="Times New Roman"/>
              <w:i/>
              <w:iCs/>
            </w:rPr>
            <w:t>3</w:t>
          </w:r>
          <w:r>
            <w:rPr>
              <w:rFonts w:eastAsia="Times New Roman"/>
            </w:rPr>
            <w:t>(1), 55–58. https://doi.org/10.37010/fcs.v3i1.537</w:t>
          </w:r>
        </w:p>
        <w:p w14:paraId="134FABE6" w14:textId="77777777" w:rsidR="0060312A" w:rsidRDefault="0060312A">
          <w:pPr>
            <w:autoSpaceDE w:val="0"/>
            <w:autoSpaceDN w:val="0"/>
            <w:ind w:hanging="480"/>
            <w:divId w:val="1229801511"/>
            <w:rPr>
              <w:rFonts w:eastAsia="Times New Roman"/>
            </w:rPr>
          </w:pPr>
          <w:r>
            <w:rPr>
              <w:rFonts w:eastAsia="Times New Roman"/>
            </w:rPr>
            <w:t xml:space="preserve">Sihite, F. B. (2023). </w:t>
          </w:r>
          <w:r>
            <w:rPr>
              <w:rFonts w:eastAsia="Times New Roman"/>
              <w:i/>
              <w:iCs/>
            </w:rPr>
            <w:t>Perlindungan Hukum Terhadap Justice Collaborator dalam Tindak Pidana Narkotika (Studi Kasus Putusan Nomor: 1273/Pid.Su/2019/PN.Plg)</w:t>
          </w:r>
          <w:r>
            <w:rPr>
              <w:rFonts w:eastAsia="Times New Roman"/>
            </w:rPr>
            <w:t xml:space="preserve"> [Skripsi]. Universitas Kristen Indonesia.</w:t>
          </w:r>
        </w:p>
        <w:p w14:paraId="72823FC3" w14:textId="77777777" w:rsidR="0060312A" w:rsidRDefault="0060312A">
          <w:pPr>
            <w:autoSpaceDE w:val="0"/>
            <w:autoSpaceDN w:val="0"/>
            <w:ind w:hanging="480"/>
            <w:divId w:val="532576983"/>
            <w:rPr>
              <w:rFonts w:eastAsia="Times New Roman"/>
            </w:rPr>
          </w:pPr>
          <w:r>
            <w:rPr>
              <w:rFonts w:eastAsia="Times New Roman"/>
            </w:rPr>
            <w:t xml:space="preserve">Situmeang, T., Fidelis Bonatua Sihite, Panjaitan, E. M., &amp; Ika Darmika. (2022). Perlindungan.Hukum Terhadap Justice Collaborator Dalam Perkara Tindak Pidana.Narkotika (Studi.Putusan Nomor: 1273/Pid.Sus/2019/PN.Plg.). </w:t>
          </w:r>
          <w:r>
            <w:rPr>
              <w:rFonts w:eastAsia="Times New Roman"/>
              <w:i/>
              <w:iCs/>
            </w:rPr>
            <w:t>Jurnal Hukum To-Ra : Hukum Untuk Mengatur Dan Melindungi Masyarakat</w:t>
          </w:r>
          <w:r>
            <w:rPr>
              <w:rFonts w:eastAsia="Times New Roman"/>
            </w:rPr>
            <w:t xml:space="preserve">, </w:t>
          </w:r>
          <w:r>
            <w:rPr>
              <w:rFonts w:eastAsia="Times New Roman"/>
              <w:i/>
              <w:iCs/>
            </w:rPr>
            <w:t>9</w:t>
          </w:r>
          <w:r>
            <w:rPr>
              <w:rFonts w:eastAsia="Times New Roman"/>
            </w:rPr>
            <w:t>(1), 115–141. https://doi.org/10.55809/tora.v9i1.213</w:t>
          </w:r>
        </w:p>
        <w:p w14:paraId="09D5184D" w14:textId="77777777" w:rsidR="0060312A" w:rsidRDefault="0060312A">
          <w:pPr>
            <w:autoSpaceDE w:val="0"/>
            <w:autoSpaceDN w:val="0"/>
            <w:ind w:hanging="480"/>
            <w:divId w:val="978001171"/>
            <w:rPr>
              <w:rFonts w:eastAsia="Times New Roman"/>
            </w:rPr>
          </w:pPr>
          <w:r>
            <w:rPr>
              <w:rFonts w:eastAsia="Times New Roman"/>
            </w:rPr>
            <w:t xml:space="preserve">Yolanda, K., Octavany, Z., Ketut, N., &amp; Utari, S. (2016). EKSISTENSI DAN PERLINDUNGAN HUKUM TERHADAP WHISTLEBLOWER DAN JUSTICE COLLABORATOR DALAM UPAYA PENANGGULANGAN ORGANIZED CRIME DI INDONESIA PADA MASA MENDATANG. </w:t>
          </w:r>
          <w:r>
            <w:rPr>
              <w:rFonts w:eastAsia="Times New Roman"/>
              <w:i/>
              <w:iCs/>
            </w:rPr>
            <w:t>Kertha Wicara : Journal Ilmu Hukum</w:t>
          </w:r>
          <w:r>
            <w:rPr>
              <w:rFonts w:eastAsia="Times New Roman"/>
            </w:rPr>
            <w:t xml:space="preserve">, </w:t>
          </w:r>
          <w:r>
            <w:rPr>
              <w:rFonts w:eastAsia="Times New Roman"/>
              <w:i/>
              <w:iCs/>
            </w:rPr>
            <w:t>5</w:t>
          </w:r>
          <w:r>
            <w:rPr>
              <w:rFonts w:eastAsia="Times New Roman"/>
            </w:rPr>
            <w:t>(2).</w:t>
          </w:r>
        </w:p>
        <w:p w14:paraId="00000039" w14:textId="4F11EA35" w:rsidR="00F62035" w:rsidRPr="00CC14E0" w:rsidRDefault="0060312A">
          <w:pPr>
            <w:spacing w:before="20"/>
            <w:ind w:left="850" w:hanging="850"/>
            <w:jc w:val="both"/>
            <w:rPr>
              <w:rFonts w:ascii="Times New Roman" w:eastAsia="Times New Roman" w:hAnsi="Times New Roman" w:cs="Times New Roman"/>
              <w:color w:val="222222"/>
              <w:sz w:val="24"/>
              <w:szCs w:val="24"/>
              <w:highlight w:val="white"/>
            </w:rPr>
          </w:pPr>
          <w:r>
            <w:rPr>
              <w:rFonts w:eastAsia="Times New Roman"/>
            </w:rPr>
            <w:t> </w:t>
          </w:r>
        </w:p>
      </w:sdtContent>
    </w:sdt>
    <w:p w14:paraId="0000003A" w14:textId="77777777" w:rsidR="00F62035" w:rsidRPr="00CC14E0" w:rsidRDefault="00F62035">
      <w:pPr>
        <w:spacing w:before="20"/>
        <w:ind w:left="850" w:hanging="850"/>
        <w:jc w:val="both"/>
        <w:rPr>
          <w:rFonts w:ascii="Times New Roman" w:eastAsia="Times New Roman" w:hAnsi="Times New Roman" w:cs="Times New Roman"/>
          <w:color w:val="222222"/>
          <w:sz w:val="24"/>
          <w:szCs w:val="24"/>
          <w:highlight w:val="white"/>
        </w:rPr>
      </w:pPr>
    </w:p>
    <w:sectPr w:rsidR="00F62035" w:rsidRPr="00CC14E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D69D0"/>
    <w:multiLevelType w:val="multilevel"/>
    <w:tmpl w:val="44DC11C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33134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035"/>
    <w:rsid w:val="0060312A"/>
    <w:rsid w:val="00740CD1"/>
    <w:rsid w:val="00A00ECF"/>
    <w:rsid w:val="00CC14E0"/>
    <w:rsid w:val="00F6203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8146B"/>
  <w15:docId w15:val="{3ACF08CF-C961-4350-9854-30ECB0B4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CC14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7954">
      <w:bodyDiv w:val="1"/>
      <w:marLeft w:val="0"/>
      <w:marRight w:val="0"/>
      <w:marTop w:val="0"/>
      <w:marBottom w:val="0"/>
      <w:divBdr>
        <w:top w:val="none" w:sz="0" w:space="0" w:color="auto"/>
        <w:left w:val="none" w:sz="0" w:space="0" w:color="auto"/>
        <w:bottom w:val="none" w:sz="0" w:space="0" w:color="auto"/>
        <w:right w:val="none" w:sz="0" w:space="0" w:color="auto"/>
      </w:divBdr>
    </w:div>
    <w:div w:id="325862755">
      <w:bodyDiv w:val="1"/>
      <w:marLeft w:val="0"/>
      <w:marRight w:val="0"/>
      <w:marTop w:val="0"/>
      <w:marBottom w:val="0"/>
      <w:divBdr>
        <w:top w:val="none" w:sz="0" w:space="0" w:color="auto"/>
        <w:left w:val="none" w:sz="0" w:space="0" w:color="auto"/>
        <w:bottom w:val="none" w:sz="0" w:space="0" w:color="auto"/>
        <w:right w:val="none" w:sz="0" w:space="0" w:color="auto"/>
      </w:divBdr>
    </w:div>
    <w:div w:id="429666565">
      <w:bodyDiv w:val="1"/>
      <w:marLeft w:val="0"/>
      <w:marRight w:val="0"/>
      <w:marTop w:val="0"/>
      <w:marBottom w:val="0"/>
      <w:divBdr>
        <w:top w:val="none" w:sz="0" w:space="0" w:color="auto"/>
        <w:left w:val="none" w:sz="0" w:space="0" w:color="auto"/>
        <w:bottom w:val="none" w:sz="0" w:space="0" w:color="auto"/>
        <w:right w:val="none" w:sz="0" w:space="0" w:color="auto"/>
      </w:divBdr>
    </w:div>
    <w:div w:id="646934266">
      <w:bodyDiv w:val="1"/>
      <w:marLeft w:val="0"/>
      <w:marRight w:val="0"/>
      <w:marTop w:val="0"/>
      <w:marBottom w:val="0"/>
      <w:divBdr>
        <w:top w:val="none" w:sz="0" w:space="0" w:color="auto"/>
        <w:left w:val="none" w:sz="0" w:space="0" w:color="auto"/>
        <w:bottom w:val="none" w:sz="0" w:space="0" w:color="auto"/>
        <w:right w:val="none" w:sz="0" w:space="0" w:color="auto"/>
      </w:divBdr>
    </w:div>
    <w:div w:id="1150177603">
      <w:bodyDiv w:val="1"/>
      <w:marLeft w:val="0"/>
      <w:marRight w:val="0"/>
      <w:marTop w:val="0"/>
      <w:marBottom w:val="0"/>
      <w:divBdr>
        <w:top w:val="none" w:sz="0" w:space="0" w:color="auto"/>
        <w:left w:val="none" w:sz="0" w:space="0" w:color="auto"/>
        <w:bottom w:val="none" w:sz="0" w:space="0" w:color="auto"/>
        <w:right w:val="none" w:sz="0" w:space="0" w:color="auto"/>
      </w:divBdr>
    </w:div>
    <w:div w:id="1160921373">
      <w:bodyDiv w:val="1"/>
      <w:marLeft w:val="0"/>
      <w:marRight w:val="0"/>
      <w:marTop w:val="0"/>
      <w:marBottom w:val="0"/>
      <w:divBdr>
        <w:top w:val="none" w:sz="0" w:space="0" w:color="auto"/>
        <w:left w:val="none" w:sz="0" w:space="0" w:color="auto"/>
        <w:bottom w:val="none" w:sz="0" w:space="0" w:color="auto"/>
        <w:right w:val="none" w:sz="0" w:space="0" w:color="auto"/>
      </w:divBdr>
    </w:div>
    <w:div w:id="1196694229">
      <w:bodyDiv w:val="1"/>
      <w:marLeft w:val="0"/>
      <w:marRight w:val="0"/>
      <w:marTop w:val="0"/>
      <w:marBottom w:val="0"/>
      <w:divBdr>
        <w:top w:val="none" w:sz="0" w:space="0" w:color="auto"/>
        <w:left w:val="none" w:sz="0" w:space="0" w:color="auto"/>
        <w:bottom w:val="none" w:sz="0" w:space="0" w:color="auto"/>
        <w:right w:val="none" w:sz="0" w:space="0" w:color="auto"/>
      </w:divBdr>
    </w:div>
    <w:div w:id="1225289581">
      <w:bodyDiv w:val="1"/>
      <w:marLeft w:val="0"/>
      <w:marRight w:val="0"/>
      <w:marTop w:val="0"/>
      <w:marBottom w:val="0"/>
      <w:divBdr>
        <w:top w:val="none" w:sz="0" w:space="0" w:color="auto"/>
        <w:left w:val="none" w:sz="0" w:space="0" w:color="auto"/>
        <w:bottom w:val="none" w:sz="0" w:space="0" w:color="auto"/>
        <w:right w:val="none" w:sz="0" w:space="0" w:color="auto"/>
      </w:divBdr>
    </w:div>
    <w:div w:id="1285429816">
      <w:bodyDiv w:val="1"/>
      <w:marLeft w:val="0"/>
      <w:marRight w:val="0"/>
      <w:marTop w:val="0"/>
      <w:marBottom w:val="0"/>
      <w:divBdr>
        <w:top w:val="none" w:sz="0" w:space="0" w:color="auto"/>
        <w:left w:val="none" w:sz="0" w:space="0" w:color="auto"/>
        <w:bottom w:val="none" w:sz="0" w:space="0" w:color="auto"/>
        <w:right w:val="none" w:sz="0" w:space="0" w:color="auto"/>
      </w:divBdr>
    </w:div>
    <w:div w:id="1625889072">
      <w:bodyDiv w:val="1"/>
      <w:marLeft w:val="0"/>
      <w:marRight w:val="0"/>
      <w:marTop w:val="0"/>
      <w:marBottom w:val="0"/>
      <w:divBdr>
        <w:top w:val="none" w:sz="0" w:space="0" w:color="auto"/>
        <w:left w:val="none" w:sz="0" w:space="0" w:color="auto"/>
        <w:bottom w:val="none" w:sz="0" w:space="0" w:color="auto"/>
        <w:right w:val="none" w:sz="0" w:space="0" w:color="auto"/>
      </w:divBdr>
      <w:divsChild>
        <w:div w:id="914243497">
          <w:marLeft w:val="480"/>
          <w:marRight w:val="0"/>
          <w:marTop w:val="0"/>
          <w:marBottom w:val="0"/>
          <w:divBdr>
            <w:top w:val="none" w:sz="0" w:space="0" w:color="auto"/>
            <w:left w:val="none" w:sz="0" w:space="0" w:color="auto"/>
            <w:bottom w:val="none" w:sz="0" w:space="0" w:color="auto"/>
            <w:right w:val="none" w:sz="0" w:space="0" w:color="auto"/>
          </w:divBdr>
        </w:div>
        <w:div w:id="1286162064">
          <w:marLeft w:val="480"/>
          <w:marRight w:val="0"/>
          <w:marTop w:val="0"/>
          <w:marBottom w:val="0"/>
          <w:divBdr>
            <w:top w:val="none" w:sz="0" w:space="0" w:color="auto"/>
            <w:left w:val="none" w:sz="0" w:space="0" w:color="auto"/>
            <w:bottom w:val="none" w:sz="0" w:space="0" w:color="auto"/>
            <w:right w:val="none" w:sz="0" w:space="0" w:color="auto"/>
          </w:divBdr>
        </w:div>
        <w:div w:id="655034425">
          <w:marLeft w:val="480"/>
          <w:marRight w:val="0"/>
          <w:marTop w:val="0"/>
          <w:marBottom w:val="0"/>
          <w:divBdr>
            <w:top w:val="none" w:sz="0" w:space="0" w:color="auto"/>
            <w:left w:val="none" w:sz="0" w:space="0" w:color="auto"/>
            <w:bottom w:val="none" w:sz="0" w:space="0" w:color="auto"/>
            <w:right w:val="none" w:sz="0" w:space="0" w:color="auto"/>
          </w:divBdr>
        </w:div>
        <w:div w:id="1785491871">
          <w:marLeft w:val="480"/>
          <w:marRight w:val="0"/>
          <w:marTop w:val="0"/>
          <w:marBottom w:val="0"/>
          <w:divBdr>
            <w:top w:val="none" w:sz="0" w:space="0" w:color="auto"/>
            <w:left w:val="none" w:sz="0" w:space="0" w:color="auto"/>
            <w:bottom w:val="none" w:sz="0" w:space="0" w:color="auto"/>
            <w:right w:val="none" w:sz="0" w:space="0" w:color="auto"/>
          </w:divBdr>
        </w:div>
        <w:div w:id="436020767">
          <w:marLeft w:val="480"/>
          <w:marRight w:val="0"/>
          <w:marTop w:val="0"/>
          <w:marBottom w:val="0"/>
          <w:divBdr>
            <w:top w:val="none" w:sz="0" w:space="0" w:color="auto"/>
            <w:left w:val="none" w:sz="0" w:space="0" w:color="auto"/>
            <w:bottom w:val="none" w:sz="0" w:space="0" w:color="auto"/>
            <w:right w:val="none" w:sz="0" w:space="0" w:color="auto"/>
          </w:divBdr>
        </w:div>
        <w:div w:id="241567483">
          <w:marLeft w:val="480"/>
          <w:marRight w:val="0"/>
          <w:marTop w:val="0"/>
          <w:marBottom w:val="0"/>
          <w:divBdr>
            <w:top w:val="none" w:sz="0" w:space="0" w:color="auto"/>
            <w:left w:val="none" w:sz="0" w:space="0" w:color="auto"/>
            <w:bottom w:val="none" w:sz="0" w:space="0" w:color="auto"/>
            <w:right w:val="none" w:sz="0" w:space="0" w:color="auto"/>
          </w:divBdr>
        </w:div>
        <w:div w:id="1352684385">
          <w:marLeft w:val="480"/>
          <w:marRight w:val="0"/>
          <w:marTop w:val="0"/>
          <w:marBottom w:val="0"/>
          <w:divBdr>
            <w:top w:val="none" w:sz="0" w:space="0" w:color="auto"/>
            <w:left w:val="none" w:sz="0" w:space="0" w:color="auto"/>
            <w:bottom w:val="none" w:sz="0" w:space="0" w:color="auto"/>
            <w:right w:val="none" w:sz="0" w:space="0" w:color="auto"/>
          </w:divBdr>
        </w:div>
        <w:div w:id="1176383280">
          <w:marLeft w:val="480"/>
          <w:marRight w:val="0"/>
          <w:marTop w:val="0"/>
          <w:marBottom w:val="0"/>
          <w:divBdr>
            <w:top w:val="none" w:sz="0" w:space="0" w:color="auto"/>
            <w:left w:val="none" w:sz="0" w:space="0" w:color="auto"/>
            <w:bottom w:val="none" w:sz="0" w:space="0" w:color="auto"/>
            <w:right w:val="none" w:sz="0" w:space="0" w:color="auto"/>
          </w:divBdr>
        </w:div>
        <w:div w:id="1563560997">
          <w:marLeft w:val="480"/>
          <w:marRight w:val="0"/>
          <w:marTop w:val="0"/>
          <w:marBottom w:val="0"/>
          <w:divBdr>
            <w:top w:val="none" w:sz="0" w:space="0" w:color="auto"/>
            <w:left w:val="none" w:sz="0" w:space="0" w:color="auto"/>
            <w:bottom w:val="none" w:sz="0" w:space="0" w:color="auto"/>
            <w:right w:val="none" w:sz="0" w:space="0" w:color="auto"/>
          </w:divBdr>
        </w:div>
        <w:div w:id="1874343319">
          <w:marLeft w:val="480"/>
          <w:marRight w:val="0"/>
          <w:marTop w:val="0"/>
          <w:marBottom w:val="0"/>
          <w:divBdr>
            <w:top w:val="none" w:sz="0" w:space="0" w:color="auto"/>
            <w:left w:val="none" w:sz="0" w:space="0" w:color="auto"/>
            <w:bottom w:val="none" w:sz="0" w:space="0" w:color="auto"/>
            <w:right w:val="none" w:sz="0" w:space="0" w:color="auto"/>
          </w:divBdr>
        </w:div>
        <w:div w:id="1934976652">
          <w:marLeft w:val="480"/>
          <w:marRight w:val="0"/>
          <w:marTop w:val="0"/>
          <w:marBottom w:val="0"/>
          <w:divBdr>
            <w:top w:val="none" w:sz="0" w:space="0" w:color="auto"/>
            <w:left w:val="none" w:sz="0" w:space="0" w:color="auto"/>
            <w:bottom w:val="none" w:sz="0" w:space="0" w:color="auto"/>
            <w:right w:val="none" w:sz="0" w:space="0" w:color="auto"/>
          </w:divBdr>
        </w:div>
        <w:div w:id="477117662">
          <w:marLeft w:val="480"/>
          <w:marRight w:val="0"/>
          <w:marTop w:val="0"/>
          <w:marBottom w:val="0"/>
          <w:divBdr>
            <w:top w:val="none" w:sz="0" w:space="0" w:color="auto"/>
            <w:left w:val="none" w:sz="0" w:space="0" w:color="auto"/>
            <w:bottom w:val="none" w:sz="0" w:space="0" w:color="auto"/>
            <w:right w:val="none" w:sz="0" w:space="0" w:color="auto"/>
          </w:divBdr>
        </w:div>
        <w:div w:id="676226378">
          <w:marLeft w:val="480"/>
          <w:marRight w:val="0"/>
          <w:marTop w:val="0"/>
          <w:marBottom w:val="0"/>
          <w:divBdr>
            <w:top w:val="none" w:sz="0" w:space="0" w:color="auto"/>
            <w:left w:val="none" w:sz="0" w:space="0" w:color="auto"/>
            <w:bottom w:val="none" w:sz="0" w:space="0" w:color="auto"/>
            <w:right w:val="none" w:sz="0" w:space="0" w:color="auto"/>
          </w:divBdr>
        </w:div>
      </w:divsChild>
    </w:div>
    <w:div w:id="1678263610">
      <w:bodyDiv w:val="1"/>
      <w:marLeft w:val="0"/>
      <w:marRight w:val="0"/>
      <w:marTop w:val="0"/>
      <w:marBottom w:val="0"/>
      <w:divBdr>
        <w:top w:val="none" w:sz="0" w:space="0" w:color="auto"/>
        <w:left w:val="none" w:sz="0" w:space="0" w:color="auto"/>
        <w:bottom w:val="none" w:sz="0" w:space="0" w:color="auto"/>
        <w:right w:val="none" w:sz="0" w:space="0" w:color="auto"/>
      </w:divBdr>
    </w:div>
    <w:div w:id="1831022380">
      <w:bodyDiv w:val="1"/>
      <w:marLeft w:val="0"/>
      <w:marRight w:val="0"/>
      <w:marTop w:val="0"/>
      <w:marBottom w:val="0"/>
      <w:divBdr>
        <w:top w:val="none" w:sz="0" w:space="0" w:color="auto"/>
        <w:left w:val="none" w:sz="0" w:space="0" w:color="auto"/>
        <w:bottom w:val="none" w:sz="0" w:space="0" w:color="auto"/>
        <w:right w:val="none" w:sz="0" w:space="0" w:color="auto"/>
      </w:divBdr>
    </w:div>
    <w:div w:id="1865901909">
      <w:bodyDiv w:val="1"/>
      <w:marLeft w:val="0"/>
      <w:marRight w:val="0"/>
      <w:marTop w:val="0"/>
      <w:marBottom w:val="0"/>
      <w:divBdr>
        <w:top w:val="none" w:sz="0" w:space="0" w:color="auto"/>
        <w:left w:val="none" w:sz="0" w:space="0" w:color="auto"/>
        <w:bottom w:val="none" w:sz="0" w:space="0" w:color="auto"/>
        <w:right w:val="none" w:sz="0" w:space="0" w:color="auto"/>
      </w:divBdr>
    </w:div>
    <w:div w:id="2075666405">
      <w:bodyDiv w:val="1"/>
      <w:marLeft w:val="0"/>
      <w:marRight w:val="0"/>
      <w:marTop w:val="0"/>
      <w:marBottom w:val="0"/>
      <w:divBdr>
        <w:top w:val="none" w:sz="0" w:space="0" w:color="auto"/>
        <w:left w:val="none" w:sz="0" w:space="0" w:color="auto"/>
        <w:bottom w:val="none" w:sz="0" w:space="0" w:color="auto"/>
        <w:right w:val="none" w:sz="0" w:space="0" w:color="auto"/>
      </w:divBdr>
      <w:divsChild>
        <w:div w:id="32852764">
          <w:marLeft w:val="480"/>
          <w:marRight w:val="0"/>
          <w:marTop w:val="0"/>
          <w:marBottom w:val="0"/>
          <w:divBdr>
            <w:top w:val="none" w:sz="0" w:space="0" w:color="auto"/>
            <w:left w:val="none" w:sz="0" w:space="0" w:color="auto"/>
            <w:bottom w:val="none" w:sz="0" w:space="0" w:color="auto"/>
            <w:right w:val="none" w:sz="0" w:space="0" w:color="auto"/>
          </w:divBdr>
        </w:div>
        <w:div w:id="241185365">
          <w:marLeft w:val="480"/>
          <w:marRight w:val="0"/>
          <w:marTop w:val="0"/>
          <w:marBottom w:val="0"/>
          <w:divBdr>
            <w:top w:val="none" w:sz="0" w:space="0" w:color="auto"/>
            <w:left w:val="none" w:sz="0" w:space="0" w:color="auto"/>
            <w:bottom w:val="none" w:sz="0" w:space="0" w:color="auto"/>
            <w:right w:val="none" w:sz="0" w:space="0" w:color="auto"/>
          </w:divBdr>
        </w:div>
        <w:div w:id="2058356763">
          <w:marLeft w:val="480"/>
          <w:marRight w:val="0"/>
          <w:marTop w:val="0"/>
          <w:marBottom w:val="0"/>
          <w:divBdr>
            <w:top w:val="none" w:sz="0" w:space="0" w:color="auto"/>
            <w:left w:val="none" w:sz="0" w:space="0" w:color="auto"/>
            <w:bottom w:val="none" w:sz="0" w:space="0" w:color="auto"/>
            <w:right w:val="none" w:sz="0" w:space="0" w:color="auto"/>
          </w:divBdr>
        </w:div>
        <w:div w:id="1961372745">
          <w:marLeft w:val="480"/>
          <w:marRight w:val="0"/>
          <w:marTop w:val="0"/>
          <w:marBottom w:val="0"/>
          <w:divBdr>
            <w:top w:val="none" w:sz="0" w:space="0" w:color="auto"/>
            <w:left w:val="none" w:sz="0" w:space="0" w:color="auto"/>
            <w:bottom w:val="none" w:sz="0" w:space="0" w:color="auto"/>
            <w:right w:val="none" w:sz="0" w:space="0" w:color="auto"/>
          </w:divBdr>
        </w:div>
        <w:div w:id="309286729">
          <w:marLeft w:val="480"/>
          <w:marRight w:val="0"/>
          <w:marTop w:val="0"/>
          <w:marBottom w:val="0"/>
          <w:divBdr>
            <w:top w:val="none" w:sz="0" w:space="0" w:color="auto"/>
            <w:left w:val="none" w:sz="0" w:space="0" w:color="auto"/>
            <w:bottom w:val="none" w:sz="0" w:space="0" w:color="auto"/>
            <w:right w:val="none" w:sz="0" w:space="0" w:color="auto"/>
          </w:divBdr>
        </w:div>
        <w:div w:id="907111924">
          <w:marLeft w:val="480"/>
          <w:marRight w:val="0"/>
          <w:marTop w:val="0"/>
          <w:marBottom w:val="0"/>
          <w:divBdr>
            <w:top w:val="none" w:sz="0" w:space="0" w:color="auto"/>
            <w:left w:val="none" w:sz="0" w:space="0" w:color="auto"/>
            <w:bottom w:val="none" w:sz="0" w:space="0" w:color="auto"/>
            <w:right w:val="none" w:sz="0" w:space="0" w:color="auto"/>
          </w:divBdr>
        </w:div>
        <w:div w:id="1156996175">
          <w:marLeft w:val="480"/>
          <w:marRight w:val="0"/>
          <w:marTop w:val="0"/>
          <w:marBottom w:val="0"/>
          <w:divBdr>
            <w:top w:val="none" w:sz="0" w:space="0" w:color="auto"/>
            <w:left w:val="none" w:sz="0" w:space="0" w:color="auto"/>
            <w:bottom w:val="none" w:sz="0" w:space="0" w:color="auto"/>
            <w:right w:val="none" w:sz="0" w:space="0" w:color="auto"/>
          </w:divBdr>
        </w:div>
        <w:div w:id="1807552774">
          <w:marLeft w:val="480"/>
          <w:marRight w:val="0"/>
          <w:marTop w:val="0"/>
          <w:marBottom w:val="0"/>
          <w:divBdr>
            <w:top w:val="none" w:sz="0" w:space="0" w:color="auto"/>
            <w:left w:val="none" w:sz="0" w:space="0" w:color="auto"/>
            <w:bottom w:val="none" w:sz="0" w:space="0" w:color="auto"/>
            <w:right w:val="none" w:sz="0" w:space="0" w:color="auto"/>
          </w:divBdr>
        </w:div>
        <w:div w:id="695275666">
          <w:marLeft w:val="480"/>
          <w:marRight w:val="0"/>
          <w:marTop w:val="0"/>
          <w:marBottom w:val="0"/>
          <w:divBdr>
            <w:top w:val="none" w:sz="0" w:space="0" w:color="auto"/>
            <w:left w:val="none" w:sz="0" w:space="0" w:color="auto"/>
            <w:bottom w:val="none" w:sz="0" w:space="0" w:color="auto"/>
            <w:right w:val="none" w:sz="0" w:space="0" w:color="auto"/>
          </w:divBdr>
        </w:div>
        <w:div w:id="1229801511">
          <w:marLeft w:val="480"/>
          <w:marRight w:val="0"/>
          <w:marTop w:val="0"/>
          <w:marBottom w:val="0"/>
          <w:divBdr>
            <w:top w:val="none" w:sz="0" w:space="0" w:color="auto"/>
            <w:left w:val="none" w:sz="0" w:space="0" w:color="auto"/>
            <w:bottom w:val="none" w:sz="0" w:space="0" w:color="auto"/>
            <w:right w:val="none" w:sz="0" w:space="0" w:color="auto"/>
          </w:divBdr>
        </w:div>
        <w:div w:id="532576983">
          <w:marLeft w:val="480"/>
          <w:marRight w:val="0"/>
          <w:marTop w:val="0"/>
          <w:marBottom w:val="0"/>
          <w:divBdr>
            <w:top w:val="none" w:sz="0" w:space="0" w:color="auto"/>
            <w:left w:val="none" w:sz="0" w:space="0" w:color="auto"/>
            <w:bottom w:val="none" w:sz="0" w:space="0" w:color="auto"/>
            <w:right w:val="none" w:sz="0" w:space="0" w:color="auto"/>
          </w:divBdr>
        </w:div>
        <w:div w:id="978001171">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C1D1132-D50D-4175-831E-83FED611F8B3}"/>
      </w:docPartPr>
      <w:docPartBody>
        <w:p w:rsidR="00000000" w:rsidRDefault="00180A17">
          <w:r w:rsidRPr="003C66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17"/>
    <w:rsid w:val="00180A17"/>
    <w:rsid w:val="00D864A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A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514A1F-F136-424E-B734-73E5F58E354A}">
  <we:reference id="wa104382081" version="1.55.1.0" store="id-ID" storeType="OMEX"/>
  <we:alternateReferences>
    <we:reference id="wa104382081" version="1.55.1.0" store="" storeType="OMEX"/>
  </we:alternateReferences>
  <we:properties>
    <we:property name="MENDELEY_CITATIONS" value="[{&quot;citationID&quot;:&quot;MENDELEY_CITATION_fe994c7a-0042-4050-9dd8-ed727b133a3e&quot;,&quot;properties&quot;:{&quot;noteIndex&quot;:0},&quot;isEdited&quot;:false,&quot;manualOverride&quot;:{&quot;isManuallyOverridden&quot;:false,&quot;citeprocText&quot;:&quot;(Amin, 2020)&quot;,&quot;manualOverrideText&quot;:&quot;&quot;},&quot;citationTag&quot;:&quot;MENDELEY_CITATION_v3_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&quot;,&quot;citationItems&quot;:[{&quot;id&quot;:&quot;ed28a4b7-c349-3604-ad1b-f0b14cf434f6&quot;,&quot;itemData&quot;:{&quot;type&quot;:&quot;article-journal&quot;,&quot;id&quot;:&quot;ed28a4b7-c349-3604-ad1b-f0b14cf434f6&quot;,&quot;title&quot;:&quot;ANALISIS PERLINDUNGAN HUKUM SAKSI PELAKU YANG BEKERJASAMA (JUSTICE COLLABORATOR) PERKARA TINDAK PIDANA NARKOTIKA DALAM SISTEM PERADILAN PIDANA DI INDONESIA&quot;,&quot;author&quot;:[{&quot;family&quot;:&quot;Amin&quot;,&quot;given&quot;:&quot;Rahman&quot;,&quot;parse-names&quot;:false,&quot;dropping-particle&quot;:&quot;&quot;,&quot;non-dropping-particle&quot;:&quot;&quot;}],&quot;container-title&quot;:&quot;Jurnal Hukum Sasana&quot;,&quot;DOI&quot;:&quot;10.31599/sasana.v6i2.271&quot;,&quot;ISSN&quot;:&quot;2461-0453&quot;,&quot;issued&quot;:{&quot;date-parts&quot;:[[2020,12,14]]},&quot;page&quot;:&quot;85-109&quot;,&quot;abstract&quot;:&quot;Penegakan hukum tindak pidana Narkotika yang melibatkan sindikat peredaran gelap Narkotika yang memiliki struktur dan jaringan yang tertutup sehingga menyulitkan aparat penegak hukum dalam pemberantasannya. Untuk menembus ke dalam jaringan sindikat Narkotika dengan diperlukan peran dari pelaku yang secara langsung terlibat dalam sindikat tersebut untuk memberikan keterangan dalam rangka mengungkap pelaku lain dengan peran yang lebih besar, sehingga terhadap pelaku yang telah bersedia bekerjasama tersebut perlu diberikan perlindungan hukum. Tujuan penelitian ini adalah untuk menganalisis dan menemukan konsep perlidungan hukum terhadap saksi pelaku yang bekerjasama dalam sistem peradilan pidana di Indonesia. Metode penelitian yang digunakan adalah penelitian hukum normatif dengan menggunakan data sekunder yang diperoleh melalui studi kepustakaan, kemudian dianalisis secara yuridis-kualitatif dan dituangkan dalam bentuk deskriptif analitis. Hasil penelitian menunjukkan bahwa perlindungan hukum terhadap saksi pelaku yang bekerjasama dalam mengungkap tindak pidana saat ini belum memadai, dimana perlindungan yang diberikan hanya terbatas pada perlindungan dari laporan balik pelaku yang diungkapnya dan bukan perlindungan hukum berupa peniadaan penuntutan atas tindak pidana yang dilakukannya. Perlindungan hukum saksi pelaku yang bekerjasama pada masa mendatang perlu adanya perluasan ruang lingkup saksi pelaku yang bekerjasama dengan penegak hukum tidak hanya pada kasus yang sama, perluasan perlindungan hukum berupa peniadaan penuntutan atas tindak pidana yang dilakukannya, dan perluasan bentuk perlindungan lainnya selama menjalani proses peradilan&quot;,&quot;publisher&quot;:&quot;Universitas Bhayangkara Jakarta Raya&quot;,&quot;issue&quot;:&quot;2&quot;,&quot;volume&quot;:&quot;6&quot;,&quot;container-title-short&quot;:&quot;&quot;},&quot;isTemporary&quot;:false}]},{&quot;citationID&quot;:&quot;MENDELEY_CITATION_118ef8bf-8959-48ec-9723-ec9b8adb776f&quot;,&quot;properties&quot;:{&quot;noteIndex&quot;:0},&quot;isEdited&quot;:false,&quot;manualOverride&quot;:{&quot;isManuallyOverridden&quot;:false,&quot;citeprocText&quot;:&quot;(Sihite, 2023)&quot;,&quot;manualOverrideText&quot;:&quot;&quot;},&quot;citationTag&quot;:&quot;MENDELEY_CITATION_v3_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&quot;,&quot;citationItems&quot;:[{&quot;id&quot;:&quot;1b75e0a9-b0c6-3042-8013-a783bff1edda&quot;,&quot;itemData&quot;:{&quot;type&quot;:&quot;thesis&quot;,&quot;id&quot;:&quot;1b75e0a9-b0c6-3042-8013-a783bff1edda&quot;,&quot;title&quot;:&quot;Perlindungan Hukum Terhadap Justice Collaborator dalam Tindak Pidana Narkotika (Studi Kasus Putusan Nomor: 1273/Pid.Su/2019/PN.Plg)&quot;,&quot;author&quot;:[{&quot;family&quot;:&quot;Sihite&quot;,&quot;given&quot;:&quot;Fidelis Bonatua&quot;,&quot;parse-names&quot;:false,&quot;dropping-particle&quot;:&quot;&quot;,&quot;non-dropping-particle&quot;:&quot;&quot;}],&quot;issued&quot;:{&quot;date-parts&quot;:[[2023]]},&quot;publisher-place&quot;:&quot;Jakarta&quot;,&quot;genre&quot;:&quot;Skripsi&quot;,&quot;publisher&quot;:&quot;Universitas Kristen Indonesia&quot;,&quot;container-title-short&quot;:&quot;&quot;},&quot;isTemporary&quot;:false}]},{&quot;citationID&quot;:&quot;MENDELEY_CITATION_40556bc2-a5e0-4b22-b7a8-6d193450fbef&quot;,&quot;properties&quot;:{&quot;noteIndex&quot;:0},&quot;isEdited&quot;:false,&quot;manualOverride&quot;:{&quot;isManuallyOverridden&quot;:false,&quot;citeprocText&quot;:&quot;(Indra, 2023)&quot;,&quot;manualOverrideText&quot;:&quot;&quot;},&quot;citationTag&quot;:&quot;MENDELEY_CITATION_v3_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&quot;,&quot;citationItems&quot;:[{&quot;id&quot;:&quot;5e9847f1-ef95-3ffe-a849-526f258afebe&quot;,&quot;itemData&quot;:{&quot;type&quot;:&quot;thesis&quot;,&quot;id&quot;:&quot;5e9847f1-ef95-3ffe-a849-526f258afebe&quot;,&quot;title&quot;:&quot;Justice Collaborator Dalam Tindak Pidana Narkotika&quot;,&quot;author&quot;:[{&quot;family&quot;:&quot;Indra&quot;,&quot;given&quot;:&quot;Rico&quot;,&quot;parse-names&quot;:false,&quot;dropping-particle&quot;:&quot;&quot;,&quot;non-dropping-particle&quot;:&quot;&quot;}],&quot;issued&quot;:{&quot;date-parts&quot;:[[2023]]},&quot;publisher-place&quot;:&quot;Jambi&quot;,&quot;genre&quot;:&quot;Skirpsi&quot;,&quot;publisher&quot;:&quot;Universitas Jambi&quot;,&quot;container-title-short&quot;:&quot;&quot;},&quot;isTemporary&quot;:false}]},{&quot;citationID&quot;:&quot;MENDELEY_CITATION_c39b6b82-102e-4382-bced-71edae96e091&quot;,&quot;properties&quot;:{&quot;noteIndex&quot;:0},&quot;isEdited&quot;:false,&quot;manualOverride&quot;:{&quot;isManuallyOverridden&quot;:false,&quot;citeprocText&quot;:&quot;(Jardan &amp;#38; Mulyati, 2023)&quot;,&quot;manualOverrideText&quot;:&quot;&quot;},&quot;citationTag&quot;:&quot;MENDELEY_CITATION_v3_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&quot;,&quot;citationItems&quot;:[{&quot;id&quot;:&quot;1cb41186-020b-3255-8280-9eb8f9cb7f49&quot;,&quot;itemData&quot;:{&quot;type&quot;:&quot;article-journal&quot;,&quot;id&quot;:&quot;1cb41186-020b-3255-8280-9eb8f9cb7f49&quot;,&quot;title&quot;:&quot;UNES Journal of Swara Justisia PERLINDUNGAN HUKUM TERHADAP JUSTICE COLLABORATOR DALAM MENGUNGKAP TINDAK PIDANA NARKOTIKA DITINJAU DARI ASAS KEADILAN (Studi Putusan di Pengadilan Negeri Pekanbaru)&quot;,&quot;author&quot;:[{&quot;family&quot;:&quot;Jardan&quot;,&quot;given&quot;:&quot;Gerry&quot;,&quot;parse-names&quot;:false,&quot;dropping-particle&quot;:&quot;&quot;,&quot;non-dropping-particle&quot;:&quot;&quot;},{&quot;family&quot;:&quot;Mulyati&quot;,&quot;given&quot;:&quot;Nani&quot;,&quot;parse-names&quot;:false,&quot;dropping-particle&quot;:&quot;&quot;,&quot;non-dropping-particle&quot;:&quot;&quot;}],&quot;container-title&quot;:&quot;UNES Juornal of Swara Justisia&quot;,&quot;DOI&quot;:&quot;10.31933/ujsj.v7i2&quot;,&quot;ISSN&quot;:&quot;2579-4701&quot;,&quot;URL&quot;:&quot;https://creativecommons.org/licenses/by/4.0/https://swarajustisia.unespadang.ac.id/index.php/UJSJ/indexDOI:https://doi.org/10.31933/ujsj.v7i2&quot;,&quot;issued&quot;:{&quot;date-parts&quot;:[[2023]]},&quot;issue&quot;:&quot;2&quot;,&quot;volume&quot;:&quot;7&quot;,&quot;container-title-short&quot;:&quot;&quot;},&quot;isTemporary&quot;:false}]},{&quot;citationID&quot;:&quot;MENDELEY_CITATION_7a34300d-8764-4a3b-a055-92a890696cfd&quot;,&quot;properties&quot;:{&quot;noteIndex&quot;:0},&quot;isEdited&quot;:false,&quot;manualOverride&quot;:{&quot;isManuallyOverridden&quot;:false,&quot;citeprocText&quot;:&quot;(Yolanda et al., 2016)&quot;,&quot;manualOverrideText&quot;:&quot;&quot;},&quot;citationTag&quot;:&quot;MENDELEY_CITATION_v3_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&quot;,&quot;citationItems&quot;:[{&quot;id&quot;:&quot;77b19b5a-17ea-30a1-9d34-a7d06085da73&quot;,&quot;itemData&quot;:{&quot;type&quot;:&quot;article-journal&quot;,&quot;id&quot;:&quot;77b19b5a-17ea-30a1-9d34-a7d06085da73&quot;,&quot;title&quot;:&quot;EKSISTENSI DAN PERLINDUNGAN HUKUM TERHADAP WHISTLEBLOWER DAN JUSTICE COLLABORATOR DALAM UPAYA PENANGGULANGAN ORGANIZED CRIME DI INDONESIA PADA MASA MENDATANG&quot;,&quot;author&quot;:[{&quot;family&quot;:&quot;Yolanda&quot;,&quot;given&quot;:&quot;Kadek&quot;,&quot;parse-names&quot;:false,&quot;dropping-particle&quot;:&quot;&quot;,&quot;non-dropping-particle&quot;:&quot;&quot;},{&quot;family&quot;:&quot;Octavany&quot;,&quot;given&quot;:&quot;Zara&quot;,&quot;parse-names&quot;:false,&quot;dropping-particle&quot;:&quot;&quot;,&quot;non-dropping-particle&quot;:&quot;&quot;},{&quot;family&quot;:&quot;Ketut&quot;,&quot;given&quot;:&quot;Ni&quot;,&quot;parse-names&quot;:false,&quot;dropping-particle&quot;:&quot;&quot;,&quot;non-dropping-particle&quot;:&quot;&quot;},{&quot;family&quot;:&quot;Utari&quot;,&quot;given&quot;:&quot;Sri&quot;,&quot;parse-names&quot;:false,&quot;dropping-particle&quot;:&quot;&quot;,&quot;non-dropping-particle&quot;:&quot;&quot;}],&quot;container-title&quot;:&quot;Kertha Wicara : Journal Ilmu Hukum&quot;,&quot;issued&quot;:{&quot;date-parts&quot;:[[2016]]},&quot;abstract&quot;:&quot;Proof is one step in a legal process in court. In the case of disclosure of a case that is organized crime such as corruption, narcotics, psychotropic substances, money laundering, human trafficking, and many other, extremely difficult in the absence of the role of whistleblower and Justice Collaborator. The purpose of this paper is to determine the existence and the legal protection of whistleblowers and Justice Collaborator in prohibition organized crime in Indonesia. The research method used in this paper are included in the category or normative law research by outlining the problems that exist, to further discuss the study based on the theories of law is then associated with the legislation applicable in the practice of law. The conclusion of this paper is Whistle Blowers and Justice Collaborator textually and expressly stipulated in SEMA No. 4 in 2011, and one of the forms of protection are organized crime dealing with cases against whistleblowers and Justice Collaborator who feel threatened his life when the examination before trial is through examination teleconference.&quot;,&quot;issue&quot;:&quot;2&quot;,&quot;volume&quot;:&quot;5&quot;,&quot;container-title-short&quot;:&quot;&quot;},&quot;isTemporary&quot;:false}]},{&quot;citationID&quot;:&quot;MENDELEY_CITATION_ed9e9923-f3e3-4410-99e6-3a8899c6dfca&quot;,&quot;properties&quot;:{&quot;noteIndex&quot;:0},&quot;isEdited&quot;:false,&quot;manualOverride&quot;:{&quot;isManuallyOverridden&quot;:false,&quot;citeprocText&quot;:&quot;(Bebry, 2023)&quot;,&quot;manualOverrideText&quot;:&quot;&quot;},&quot;citationTag&quot;:&quot;MENDELEY_CITATION_v3_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&quot;,&quot;citationItems&quot;:[{&quot;id&quot;:&quot;7fceaa0e-48ce-3429-86e7-afa712627915&quot;,&quot;itemData&quot;:{&quot;type&quot;:&quot;thesis&quot;,&quot;id&quot;:&quot;7fceaa0e-48ce-3429-86e7-afa712627915&quot;,&quot;title&quot;:&quot;PERLINDUNGAN HUKUM TERHADAP JUSTICE COLLABORATOR DALAM TINDAK PIDANA NARKOTIKA DIHUBUNGKAN DENGAN ASAS KEPASTIAN HUKUM&quot;,&quot;author&quot;:[{&quot;family&quot;:&quot;Bebry&quot;,&quot;given&quot;:&quot;Mr&quot;,&quot;parse-names&quot;:false,&quot;dropping-particle&quot;:&quot;&quot;,&quot;non-dropping-particle&quot;:&quot;&quot;}],&quot;issued&quot;:{&quot;date-parts&quot;:[[2023]]},&quot;publisher-place&quot;:&quot;Bandung&quot;,&quot;genre&quot;:&quot;Skripsi&quot;,&quot;publisher&quot;:&quot;Universitas Pasundan&quot;,&quot;container-title-short&quot;:&quot;&quot;},&quot;isTemporary&quot;:false}]},{&quot;citationID&quot;:&quot;MENDELEY_CITATION_05eecf3d-9dd5-4539-b1a4-00e2606b4370&quot;,&quot;properties&quot;:{&quot;noteIndex&quot;:0},&quot;isEdited&quot;:false,&quot;manualOverride&quot;:{&quot;isManuallyOverridden&quot;:false,&quot;citeprocText&quot;:&quot;(Situmeang et al., 2022)&quot;,&quot;manualOverrideText&quot;:&quot;&quot;},&quot;citationTag&quot;:&quot;MENDELEY_CITATION_v3_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&quot;,&quot;citationItems&quot;:[{&quot;id&quot;:&quot;12e5d5b3-2dce-3f1d-8590-ad1d9689be74&quot;,&quot;itemData&quot;:{&quot;type&quot;:&quot;article-journal&quot;,&quot;id&quot;:&quot;12e5d5b3-2dce-3f1d-8590-ad1d9689be74&quot;,&quot;title&quot;:&quot;Perlindungan.Hukum Terhadap Justice Collaborator Dalam Perkara Tindak Pidana.Narkotika (Studi.Putusan Nomor: 1273/Pid.Sus/2019/PN.Plg.)&quot;,&quot;author&quot;:[{&quot;family&quot;:&quot;Situmeang&quot;,&quot;given&quot;:&quot;Tomson&quot;,&quot;parse-names&quot;:false,&quot;dropping-particle&quot;:&quot;&quot;,&quot;non-dropping-particle&quot;:&quot;&quot;},{&quot;family&quot;:&quot;Fidelis Bonatua Sihite&quot;,&quot;given&quot;:&quot;&quot;,&quot;parse-names&quot;:false,&quot;dropping-particle&quot;:&quot;&quot;,&quot;non-dropping-particle&quot;:&quot;&quot;},{&quot;family&quot;:&quot;Panjaitan&quot;,&quot;given&quot;:&quot;Edward ML&quot;,&quot;parse-names&quot;:false,&quot;dropping-particle&quot;:&quot;&quot;,&quot;non-dropping-particle&quot;:&quot;&quot;},{&quot;family&quot;:&quot;Ika Darmika&quot;,&quot;given&quot;:&quot;&quot;,&quot;parse-names&quot;:false,&quot;dropping-particle&quot;:&quot;&quot;,&quot;non-dropping-particle&quot;:&quot;&quot;}],&quot;container-title&quot;:&quot;Jurnal Hukum to-ra : Hukum Untuk Mengatur dan Melindungi Masyarakat&quot;,&quot;DOI&quot;:&quot;10.55809/tora.v9i1.213&quot;,&quot;ISSN&quot;:&quot;2442-8019&quot;,&quot;issued&quot;:{&quot;date-parts&quot;:[[2022,4,29]]},&quot;page&quot;:&quot;115-141&quot;,&quot;abstract&quot;:&quot;Justice Collaborators are suspects, defendants, convicts who cooperate with law enforcement to reveal a certain criminal offense. In narcotics crime Justice Collaborators are used as a tool in uncovering, fighting, organized cases. Justice Collaborator is an extraordinary crime (Extra Ordinary Crime), where the perpetrator needs protection. The formulation of the problem in this study is how the protection, rights and obligations of Justice Collaborators and the analysis of the application of Justice Collaborators in Case Study of Criminal Case Decision Number: 1273/PID.SUS/2019/PN.Plg. This research uses a study with qualitative normative juridical methods, which is research obtained from secondary sources. This research is an analysis that analyzes the protection system, rights, and obligations as a Justice Collaborator by using secondary data, namely Supreme Court Circular Letter No. 04 of 2011 concerning Treatment of Criminal Reporters and Cooperating Perpetrators, and also using other secondary legal materials such as books, journals, and the internet. From the results of this study, it can be concluded that Justice Collaborators are defendants whose interests and protection rights must be applied as perpetrators who reveal an organized crime&quot;,&quot;publisher&quot;:&quot;Universitas Kristen Indonesia&quot;,&quot;issue&quot;:&quot;1&quot;,&quot;volume&quot;:&quot;9&quot;,&quot;container-title-short&quot;:&quot;&quot;},&quot;isTemporary&quot;:false}]},{&quot;citationID&quot;:&quot;MENDELEY_CITATION_50715218-da2d-4bcf-a494-3ac06c72740d&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NTA3MTUyMTgtZGEyZC00YmNmLWE0OTQtM2FjMDZjNzI3NDBk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0a12fbab-0aa5-4eaf-b091-872d1d8d5671&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MGExMmZiYWItMGFhNS00ZWFmLWIwOTEtODcyZDFkOGQ1Njcx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4c360003-f354-49f0-ac87-84b97ef5ee6c&quot;,&quot;properties&quot;:{&quot;noteIndex&quot;:0},&quot;isEdited&quot;:false,&quot;manualOverride&quot;:{&quot;isManuallyOverridden&quot;:false,&quot;citeprocText&quot;:&quot;(Dames Lewansorna et al., 2022)&quot;,&quot;manualOverrideText&quot;:&quot;&quot;},&quot;citationTag&quot;:&quot;MENDELEY_CITATION_v3_eyJjaXRhdGlvbklEIjoiTUVOREVMRVlfQ0lUQVRJT05fNGMzNjAwMDMtZjM1NC00OWYwLWFjODctODRiOTdlZjVlZTZj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Dames Lewansorna&quot;,&quot;given&quot;:&quot;&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43c4b7e1-f950-4f0f-a388-466a30ba1cdb&quot;,&quot;properties&quot;:{&quot;noteIndex&quot;:0},&quot;isEdited&quot;:false,&quot;manualOverride&quot;:{&quot;isManuallyOverridden&quot;:false,&quot;citeprocText&quot;:&quot;(Robbani, 2022)&quot;,&quot;manualOverrideText&quot;:&quot;&quot;},&quot;citationTag&quot;:&quot;MENDELEY_CITATION_v3_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&quot;,&quot;citationItems&quot;:[{&quot;id&quot;:&quot;8d15ddb5-bc67-35e3-aafa-b9b771915fc1&quot;,&quot;itemData&quot;:{&quot;type&quot;:&quot;thesis&quot;,&quot;id&quot;:&quot;8d15ddb5-bc67-35e3-aafa-b9b771915fc1&quot;,&quot;title&quot;:&quot;Branding Strategy Lembaga Amil Zakat (LAZ) Zakat Sukses&quot;,&quot;author&quot;:[{&quot;family&quot;:&quot;Robbani&quot;,&quot;given&quot;:&quot;Hamzah&quot;,&quot;parse-names&quot;:false,&quot;dropping-particle&quot;:&quot;&quot;,&quot;non-dropping-particle&quot;:&quot;&quot;}],&quot;container-title&quot;:&quot;. Thesis (S2) Fisip Universitas Muhammadiyah Jakarta.&quot;,&quot;issued&quot;:{&quot;date-parts&quot;:[[2022]]},&quot;publisher-place&quot;:&quot;Jakarta.&quot;,&quot;genre&quot;:&quot;Thesis&quot;,&quot;publisher&quot;:&quot;Universitas Muhammadiyah Jakarta&quot;,&quot;container-title-short&quot;:&quot;&quot;},&quot;isTemporary&quot;:false}]},{&quot;citationID&quot;:&quot;MENDELEY_CITATION_e7814b59-d698-44cf-9302-12d91db69860&quot;,&quot;properties&quot;:{&quot;noteIndex&quot;:0},&quot;isEdited&quot;:false,&quot;manualOverride&quot;:{&quot;isManuallyOverridden&quot;:false,&quot;citeprocText&quot;:&quot;(Irawan, 2020)&quot;,&quot;manualOverrideText&quot;:&quot;&quot;},&quot;citationTag&quot;:&quot;MENDELEY_CITATION_v3_eyJjaXRhdGlvbklEIjoiTUVOREVMRVlfQ0lUQVRJT05fZTc4MTRiNTktZDY5OC00NGNmLTkzMDItMTJkOTFkYjY5ODYw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89871d47-a177-47b4-a5f3-538562800600&quot;,&quot;properties&quot;:{&quot;noteIndex&quot;:0},&quot;isEdited&quot;:false,&quot;manualOverride&quot;:{&quot;isManuallyOverridden&quot;:false,&quot;citeprocText&quot;:&quot;(Jardan &amp;#38; Mulyati, 2023)&quot;,&quot;manualOverrideText&quot;:&quot;&quot;},&quot;citationTag&quot;:&quot;MENDELEY_CITATION_v3_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&quot;,&quot;citationItems&quot;:[{&quot;id&quot;:&quot;1cb41186-020b-3255-8280-9eb8f9cb7f49&quot;,&quot;itemData&quot;:{&quot;type&quot;:&quot;article-journal&quot;,&quot;id&quot;:&quot;1cb41186-020b-3255-8280-9eb8f9cb7f49&quot;,&quot;title&quot;:&quot;UNES Journal of Swara Justisia PERLINDUNGAN HUKUM TERHADAP JUSTICE COLLABORATOR DALAM MENGUNGKAP TINDAK PIDANA NARKOTIKA DITINJAU DARI ASAS KEADILAN (Studi Putusan di Pengadilan Negeri Pekanbaru)&quot;,&quot;author&quot;:[{&quot;family&quot;:&quot;Jardan&quot;,&quot;given&quot;:&quot;Gerry&quot;,&quot;parse-names&quot;:false,&quot;dropping-particle&quot;:&quot;&quot;,&quot;non-dropping-particle&quot;:&quot;&quot;},{&quot;family&quot;:&quot;Mulyati&quot;,&quot;given&quot;:&quot;Nani&quot;,&quot;parse-names&quot;:false,&quot;dropping-particle&quot;:&quot;&quot;,&quot;non-dropping-particle&quot;:&quot;&quot;}],&quot;container-title&quot;:&quot;UNES Juornal of Swara Justisia&quot;,&quot;DOI&quot;:&quot;10.31933/ujsj.v7i2&quot;,&quot;ISSN&quot;:&quot;2579-4701&quot;,&quot;URL&quot;:&quot;https://creativecommons.org/licenses/by/4.0/https://swarajustisia.unespadang.ac.id/index.php/UJSJ/indexDOI:https://doi.org/10.31933/ujsj.v7i2&quot;,&quot;issued&quot;:{&quot;date-parts&quot;:[[2023]]},&quot;issue&quot;:&quot;2&quot;,&quot;volume&quot;:&quot;7&quot;,&quot;container-title-short&quot;:&quot;&quot;},&quot;isTemporary&quot;:false}]},{&quot;citationID&quot;:&quot;MENDELEY_CITATION_3fdb0ac8-279a-4fca-95ac-1c0926efa21c&quot;,&quot;properties&quot;:{&quot;noteIndex&quot;:0},&quot;isEdited&quot;:false,&quot;manualOverride&quot;:{&quot;isManuallyOverridden&quot;:false,&quot;citeprocText&quot;:&quot;(Yolanda et al., 2016)&quot;,&quot;manualOverrideText&quot;:&quot;&quot;},&quot;citationTag&quot;:&quot;MENDELEY_CITATION_v3_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&quot;,&quot;citationItems&quot;:[{&quot;id&quot;:&quot;77b19b5a-17ea-30a1-9d34-a7d06085da73&quot;,&quot;itemData&quot;:{&quot;type&quot;:&quot;article-journal&quot;,&quot;id&quot;:&quot;77b19b5a-17ea-30a1-9d34-a7d06085da73&quot;,&quot;title&quot;:&quot;EKSISTENSI DAN PERLINDUNGAN HUKUM TERHADAP WHISTLEBLOWER DAN JUSTICE COLLABORATOR DALAM UPAYA PENANGGULANGAN ORGANIZED CRIME DI INDONESIA PADA MASA MENDATANG&quot;,&quot;author&quot;:[{&quot;family&quot;:&quot;Yolanda&quot;,&quot;given&quot;:&quot;Kadek&quot;,&quot;parse-names&quot;:false,&quot;dropping-particle&quot;:&quot;&quot;,&quot;non-dropping-particle&quot;:&quot;&quot;},{&quot;family&quot;:&quot;Octavany&quot;,&quot;given&quot;:&quot;Zara&quot;,&quot;parse-names&quot;:false,&quot;dropping-particle&quot;:&quot;&quot;,&quot;non-dropping-particle&quot;:&quot;&quot;},{&quot;family&quot;:&quot;Ketut&quot;,&quot;given&quot;:&quot;Ni&quot;,&quot;parse-names&quot;:false,&quot;dropping-particle&quot;:&quot;&quot;,&quot;non-dropping-particle&quot;:&quot;&quot;},{&quot;family&quot;:&quot;Utari&quot;,&quot;given&quot;:&quot;Sri&quot;,&quot;parse-names&quot;:false,&quot;dropping-particle&quot;:&quot;&quot;,&quot;non-dropping-particle&quot;:&quot;&quot;}],&quot;container-title&quot;:&quot;Kertha Wicara : Journal Ilmu Hukum&quot;,&quot;issued&quot;:{&quot;date-parts&quot;:[[2016]]},&quot;abstract&quot;:&quot;Proof is one step in a legal process in court. In the case of disclosure of a case that is organized crime such as corruption, narcotics, psychotropic substances, money laundering, human trafficking, and many other, extremely difficult in the absence of the role of whistleblower and Justice Collaborator. The purpose of this paper is to determine the existence and the legal protection of whistleblowers and Justice Collaborator in prohibition organized crime in Indonesia. The research method used in this paper are included in the category or normative law research by outlining the problems that exist, to further discuss the study based on the theories of law is then associated with the legislation applicable in the practice of law. The conclusion of this paper is Whistle Blowers and Justice Collaborator textually and expressly stipulated in SEMA No. 4 in 2011, and one of the forms of protection are organized crime dealing with cases against whistleblowers and Justice Collaborator who feel threatened his life when the examination before trial is through examination teleconference.&quot;,&quot;issue&quot;:&quot;2&quot;,&quot;volume&quot;:&quot;5&quot;,&quot;container-title-short&quot;:&quot;&quot;},&quot;isTemporary&quot;:false}]},{&quot;citationID&quot;:&quot;MENDELEY_CITATION_75086ddd-db70-42ad-ba53-3b7df702edf8&quot;,&quot;properties&quot;:{&quot;noteIndex&quot;:0},&quot;isEdited&quot;:false,&quot;manualOverride&quot;:{&quot;isManuallyOverridden&quot;:false,&quot;citeprocText&quot;:&quot;(Situmeang et al., 2022)&quot;,&quot;manualOverrideText&quot;:&quot;&quot;},&quot;citationTag&quot;:&quot;MENDELEY_CITATION_v3_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&quot;,&quot;citationItems&quot;:[{&quot;id&quot;:&quot;12e5d5b3-2dce-3f1d-8590-ad1d9689be74&quot;,&quot;itemData&quot;:{&quot;type&quot;:&quot;article-journal&quot;,&quot;id&quot;:&quot;12e5d5b3-2dce-3f1d-8590-ad1d9689be74&quot;,&quot;title&quot;:&quot;Perlindungan.Hukum Terhadap Justice Collaborator Dalam Perkara Tindak Pidana.Narkotika (Studi.Putusan Nomor: 1273/Pid.Sus/2019/PN.Plg.)&quot;,&quot;author&quot;:[{&quot;family&quot;:&quot;Situmeang&quot;,&quot;given&quot;:&quot;Tomson&quot;,&quot;parse-names&quot;:false,&quot;dropping-particle&quot;:&quot;&quot;,&quot;non-dropping-particle&quot;:&quot;&quot;},{&quot;family&quot;:&quot;Fidelis Bonatua Sihite&quot;,&quot;given&quot;:&quot;&quot;,&quot;parse-names&quot;:false,&quot;dropping-particle&quot;:&quot;&quot;,&quot;non-dropping-particle&quot;:&quot;&quot;},{&quot;family&quot;:&quot;Panjaitan&quot;,&quot;given&quot;:&quot;Edward ML&quot;,&quot;parse-names&quot;:false,&quot;dropping-particle&quot;:&quot;&quot;,&quot;non-dropping-particle&quot;:&quot;&quot;},{&quot;family&quot;:&quot;Ika Darmika&quot;,&quot;given&quot;:&quot;&quot;,&quot;parse-names&quot;:false,&quot;dropping-particle&quot;:&quot;&quot;,&quot;non-dropping-particle&quot;:&quot;&quot;}],&quot;container-title&quot;:&quot;Jurnal Hukum to-ra : Hukum Untuk Mengatur dan Melindungi Masyarakat&quot;,&quot;DOI&quot;:&quot;10.55809/tora.v9i1.213&quot;,&quot;ISSN&quot;:&quot;2442-8019&quot;,&quot;issued&quot;:{&quot;date-parts&quot;:[[2022,4,29]]},&quot;page&quot;:&quot;115-141&quot;,&quot;abstract&quot;:&quot;Justice Collaborators are suspects, defendants, convicts who cooperate with law enforcement to reveal a certain criminal offense. In narcotics crime Justice Collaborators are used as a tool in uncovering, fighting, organized cases. Justice Collaborator is an extraordinary crime (Extra Ordinary Crime), where the perpetrator needs protection. The formulation of the problem in this study is how the protection, rights and obligations of Justice Collaborators and the analysis of the application of Justice Collaborators in Case Study of Criminal Case Decision Number: 1273/PID.SUS/2019/PN.Plg. This research uses a study with qualitative normative juridical methods, which is research obtained from secondary sources. This research is an analysis that analyzes the protection system, rights, and obligations as a Justice Collaborator by using secondary data, namely Supreme Court Circular Letter No. 04 of 2011 concerning Treatment of Criminal Reporters and Cooperating Perpetrators, and also using other secondary legal materials such as books, journals, and the internet. From the results of this study, it can be concluded that Justice Collaborators are defendants whose interests and protection rights must be applied as perpetrators who reveal an organized crime&quot;,&quot;publisher&quot;:&quot;Universitas Kristen Indonesia&quot;,&quot;issue&quot;:&quot;1&quot;,&quot;volume&quot;:&quot;9&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Ep1+EXoOFUFCO7FFNLO/svVrMw==">CgMxLjA4AHIhMU1xb3hNei1ES3pMa1dWUTFiU2NqY3BlT0NSQnA1YnVD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DA9B71-B614-4344-A68F-50561BDE7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2839</Words>
  <Characters>19424</Characters>
  <Application>Microsoft Office Word</Application>
  <DocSecurity>0</DocSecurity>
  <Lines>308</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3</cp:revision>
  <dcterms:created xsi:type="dcterms:W3CDTF">2023-09-04T09:05:00Z</dcterms:created>
  <dcterms:modified xsi:type="dcterms:W3CDTF">2023-09-04T09:44:00Z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7c46fa88282badb4522e77f8fd852b7017878db8ec8574d34368cf7c5db9ed3d</vt:lpwstr>
  </property>
</Properties>
</file>