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47E5" w:rsidRPr="0035076E" w:rsidRDefault="00000000">
      <w:pPr>
        <w:jc w:val="center"/>
        <w:rPr>
          <w:rFonts w:ascii="Times New Roman" w:eastAsia="Times New Roman" w:hAnsi="Times New Roman" w:cs="Times New Roman"/>
          <w:b/>
          <w:sz w:val="28"/>
          <w:szCs w:val="28"/>
        </w:rPr>
      </w:pPr>
      <w:r w:rsidRPr="0035076E">
        <w:rPr>
          <w:rFonts w:ascii="Times New Roman" w:eastAsia="Times New Roman" w:hAnsi="Times New Roman" w:cs="Times New Roman"/>
          <w:b/>
          <w:sz w:val="28"/>
          <w:szCs w:val="28"/>
        </w:rPr>
        <w:t>Analisis Hukum Terhadap Tindak Pidana Penipuan dalam Konteks Arisan Online</w:t>
      </w:r>
    </w:p>
    <w:p w14:paraId="00000002" w14:textId="77777777" w:rsidR="000A47E5" w:rsidRPr="0035076E" w:rsidRDefault="000A47E5">
      <w:pPr>
        <w:jc w:val="center"/>
        <w:rPr>
          <w:rFonts w:ascii="Times New Roman" w:eastAsia="Times New Roman" w:hAnsi="Times New Roman" w:cs="Times New Roman"/>
          <w:b/>
          <w:sz w:val="28"/>
          <w:szCs w:val="28"/>
        </w:rPr>
      </w:pPr>
    </w:p>
    <w:p w14:paraId="00000003" w14:textId="77777777" w:rsidR="000A47E5" w:rsidRPr="0035076E" w:rsidRDefault="00000000">
      <w:pPr>
        <w:ind w:left="720"/>
        <w:jc w:val="both"/>
        <w:rPr>
          <w:rFonts w:ascii="Times New Roman" w:eastAsia="Times New Roman" w:hAnsi="Times New Roman" w:cs="Times New Roman"/>
          <w:color w:val="222222"/>
          <w:sz w:val="24"/>
          <w:szCs w:val="24"/>
          <w:highlight w:val="white"/>
        </w:rPr>
      </w:pPr>
      <w:r w:rsidRPr="0035076E">
        <w:rPr>
          <w:rFonts w:ascii="Times New Roman" w:eastAsia="Times New Roman" w:hAnsi="Times New Roman" w:cs="Times New Roman"/>
          <w:b/>
          <w:sz w:val="24"/>
          <w:szCs w:val="24"/>
        </w:rPr>
        <w:t>Abstrak</w:t>
      </w:r>
    </w:p>
    <w:p w14:paraId="00000004" w14:textId="77777777" w:rsidR="000A47E5" w:rsidRPr="0035076E" w:rsidRDefault="00000000">
      <w:pPr>
        <w:ind w:left="720" w:firstLine="720"/>
        <w:jc w:val="both"/>
        <w:rPr>
          <w:rFonts w:ascii="Times New Roman" w:eastAsia="Times New Roman" w:hAnsi="Times New Roman" w:cs="Times New Roman"/>
          <w:color w:val="222222"/>
          <w:sz w:val="24"/>
          <w:szCs w:val="24"/>
          <w:highlight w:val="white"/>
        </w:rPr>
      </w:pPr>
      <w:r w:rsidRPr="0035076E">
        <w:rPr>
          <w:rFonts w:ascii="Times New Roman" w:eastAsia="Times New Roman" w:hAnsi="Times New Roman" w:cs="Times New Roman"/>
          <w:color w:val="222222"/>
          <w:sz w:val="24"/>
          <w:szCs w:val="24"/>
          <w:highlight w:val="white"/>
        </w:rPr>
        <w:t xml:space="preserve"> Perkembangan teknologi informasi, terutama internet, telah mengubah lanskap perekonomian dengan menciptakan peluang bisnis baru, seperti arisan online. Arisan online adalah jenis arisan yang beroperasi melalui media sosial atau platform online, memberikan fleksibilitas kepada anggota dalam memilih urutan dan kontribusi. Namun, ini juga membawa risiko penipuan dan pelanggaran etika yang tinggi.</w:t>
      </w:r>
    </w:p>
    <w:p w14:paraId="00000005" w14:textId="77777777" w:rsidR="000A47E5" w:rsidRPr="0035076E" w:rsidRDefault="00000000">
      <w:pPr>
        <w:ind w:left="720" w:firstLine="720"/>
        <w:jc w:val="both"/>
        <w:rPr>
          <w:rFonts w:ascii="Times New Roman" w:eastAsia="Times New Roman" w:hAnsi="Times New Roman" w:cs="Times New Roman"/>
          <w:color w:val="222222"/>
          <w:sz w:val="24"/>
          <w:szCs w:val="24"/>
          <w:highlight w:val="white"/>
        </w:rPr>
      </w:pPr>
      <w:r w:rsidRPr="0035076E">
        <w:rPr>
          <w:rFonts w:ascii="Times New Roman" w:eastAsia="Times New Roman" w:hAnsi="Times New Roman" w:cs="Times New Roman"/>
          <w:color w:val="222222"/>
          <w:sz w:val="24"/>
          <w:szCs w:val="24"/>
          <w:highlight w:val="white"/>
        </w:rPr>
        <w:t>Penelitian ini menggunakan pendekatan kualitatif dengan landasan hukum normatif. Data diperoleh dari berbagai sumber, termasuk dokumen, wawancara, dan pengamatan individu yang terlibat dalam arisan online.</w:t>
      </w:r>
    </w:p>
    <w:p w14:paraId="00000006" w14:textId="77777777" w:rsidR="000A47E5" w:rsidRPr="0035076E" w:rsidRDefault="00000000">
      <w:pPr>
        <w:ind w:left="720" w:firstLine="720"/>
        <w:jc w:val="both"/>
        <w:rPr>
          <w:rFonts w:ascii="Times New Roman" w:eastAsia="Times New Roman" w:hAnsi="Times New Roman" w:cs="Times New Roman"/>
          <w:color w:val="222222"/>
          <w:sz w:val="24"/>
          <w:szCs w:val="24"/>
          <w:highlight w:val="white"/>
        </w:rPr>
      </w:pPr>
      <w:r w:rsidRPr="0035076E">
        <w:rPr>
          <w:rFonts w:ascii="Times New Roman" w:eastAsia="Times New Roman" w:hAnsi="Times New Roman" w:cs="Times New Roman"/>
          <w:color w:val="222222"/>
          <w:sz w:val="24"/>
          <w:szCs w:val="24"/>
          <w:highlight w:val="white"/>
        </w:rPr>
        <w:t>Dalam konteks arisan online, perbuatan dapat diklasifikasikan sebagai tindak pidana penipuan jika memenuhi unsur-unsur tindak pidana penipuan yang diatur dalam hukum. Penyidik kepolisian telah melakukan upaya pencegahan melalui himbauan media sosial dan sosialisasi kepada masyarakat. Upaya penindakan dilakukan setelah terjadinya tindak pidana, dengan mengacu pada Pasal 28 ayat (1) Jo. Pasal 45A ayat (1) Undang-Undang Nomor 19 Tahun 2016 dan Pasal 378 KUHP. Proses penegakan hukum melibatkan tahap penyelidikan, penyidikan, pemeriksaan, dan penyerahan perkara kepada Jaksa Penuntut Umum.</w:t>
      </w:r>
    </w:p>
    <w:p w14:paraId="00000007" w14:textId="77777777" w:rsidR="000A47E5" w:rsidRPr="0035076E" w:rsidRDefault="000A47E5">
      <w:pPr>
        <w:ind w:left="720" w:firstLine="720"/>
        <w:jc w:val="both"/>
        <w:rPr>
          <w:rFonts w:ascii="Times New Roman" w:eastAsia="Times New Roman" w:hAnsi="Times New Roman" w:cs="Times New Roman"/>
          <w:color w:val="222222"/>
          <w:sz w:val="24"/>
          <w:szCs w:val="24"/>
          <w:highlight w:val="white"/>
        </w:rPr>
      </w:pPr>
    </w:p>
    <w:p w14:paraId="00000008" w14:textId="77777777" w:rsidR="000A47E5" w:rsidRPr="0035076E" w:rsidRDefault="00000000">
      <w:pPr>
        <w:ind w:left="720" w:firstLine="720"/>
        <w:jc w:val="both"/>
        <w:rPr>
          <w:rFonts w:ascii="Times New Roman" w:eastAsia="Times New Roman" w:hAnsi="Times New Roman" w:cs="Times New Roman"/>
          <w:color w:val="222222"/>
          <w:sz w:val="24"/>
          <w:szCs w:val="24"/>
          <w:highlight w:val="white"/>
        </w:rPr>
      </w:pPr>
      <w:r w:rsidRPr="0035076E">
        <w:rPr>
          <w:rFonts w:ascii="Times New Roman" w:eastAsia="Times New Roman" w:hAnsi="Times New Roman" w:cs="Times New Roman"/>
          <w:b/>
          <w:color w:val="222222"/>
          <w:sz w:val="24"/>
          <w:szCs w:val="24"/>
          <w:highlight w:val="white"/>
        </w:rPr>
        <w:t>Kata Kunci</w:t>
      </w:r>
      <w:r w:rsidRPr="0035076E">
        <w:rPr>
          <w:rFonts w:ascii="Times New Roman" w:eastAsia="Times New Roman" w:hAnsi="Times New Roman" w:cs="Times New Roman"/>
          <w:color w:val="222222"/>
          <w:sz w:val="24"/>
          <w:szCs w:val="24"/>
          <w:highlight w:val="white"/>
        </w:rPr>
        <w:t>: Arisan Online, Tindak Pidana Penipuan, Hukum Normatif, Upaya Pencegahan, Penegakan Hukum</w:t>
      </w:r>
    </w:p>
    <w:p w14:paraId="00000009" w14:textId="77777777" w:rsidR="000A47E5" w:rsidRPr="0035076E" w:rsidRDefault="000A47E5">
      <w:pPr>
        <w:ind w:left="720" w:firstLine="720"/>
        <w:jc w:val="both"/>
        <w:rPr>
          <w:rFonts w:ascii="Times New Roman" w:eastAsia="Times New Roman" w:hAnsi="Times New Roman" w:cs="Times New Roman"/>
          <w:color w:val="222222"/>
          <w:sz w:val="24"/>
          <w:szCs w:val="24"/>
          <w:highlight w:val="white"/>
        </w:rPr>
      </w:pPr>
    </w:p>
    <w:p w14:paraId="0000000A" w14:textId="77777777" w:rsidR="000A47E5" w:rsidRPr="0035076E" w:rsidRDefault="00000000">
      <w:pPr>
        <w:ind w:left="720" w:firstLine="720"/>
        <w:jc w:val="both"/>
        <w:rPr>
          <w:rFonts w:ascii="Times New Roman" w:eastAsia="Times New Roman" w:hAnsi="Times New Roman" w:cs="Times New Roman"/>
          <w:i/>
          <w:color w:val="222222"/>
          <w:sz w:val="24"/>
          <w:szCs w:val="24"/>
          <w:highlight w:val="white"/>
        </w:rPr>
      </w:pPr>
      <w:r w:rsidRPr="0035076E">
        <w:rPr>
          <w:rFonts w:ascii="Times New Roman" w:eastAsia="Times New Roman" w:hAnsi="Times New Roman" w:cs="Times New Roman"/>
          <w:i/>
          <w:color w:val="222222"/>
          <w:sz w:val="24"/>
          <w:szCs w:val="24"/>
          <w:highlight w:val="white"/>
        </w:rPr>
        <w:t>The development of information technology, especially the internet, has changed the economic landscape by creating new business opportunities, such as online social gatherings. Online social gathering is a type of social gathering that operates through social media or online platforms, giving members flexibility in choosing the order and contributions. However, this also carries a high risk of fraud and ethical violations.</w:t>
      </w:r>
    </w:p>
    <w:p w14:paraId="0000000B" w14:textId="77777777" w:rsidR="000A47E5" w:rsidRPr="0035076E" w:rsidRDefault="00000000">
      <w:pPr>
        <w:ind w:left="720" w:firstLine="720"/>
        <w:jc w:val="both"/>
        <w:rPr>
          <w:rFonts w:ascii="Times New Roman" w:eastAsia="Times New Roman" w:hAnsi="Times New Roman" w:cs="Times New Roman"/>
          <w:i/>
          <w:color w:val="222222"/>
          <w:sz w:val="24"/>
          <w:szCs w:val="24"/>
          <w:highlight w:val="white"/>
        </w:rPr>
      </w:pPr>
      <w:r w:rsidRPr="0035076E">
        <w:rPr>
          <w:rFonts w:ascii="Times New Roman" w:eastAsia="Times New Roman" w:hAnsi="Times New Roman" w:cs="Times New Roman"/>
          <w:i/>
          <w:color w:val="222222"/>
          <w:sz w:val="24"/>
          <w:szCs w:val="24"/>
          <w:highlight w:val="white"/>
        </w:rPr>
        <w:t>This research uses a qualitative approach with a normative legal basis. Data was obtained from various sources, including documents, interviews, and observations of individuals involved in online social gatherings.</w:t>
      </w:r>
    </w:p>
    <w:p w14:paraId="0000000C" w14:textId="77777777" w:rsidR="000A47E5" w:rsidRPr="0035076E" w:rsidRDefault="00000000">
      <w:pPr>
        <w:ind w:left="720" w:firstLine="720"/>
        <w:jc w:val="both"/>
        <w:rPr>
          <w:rFonts w:ascii="Times New Roman" w:eastAsia="Times New Roman" w:hAnsi="Times New Roman" w:cs="Times New Roman"/>
          <w:i/>
          <w:color w:val="222222"/>
          <w:sz w:val="24"/>
          <w:szCs w:val="24"/>
          <w:highlight w:val="white"/>
        </w:rPr>
      </w:pPr>
      <w:r w:rsidRPr="0035076E">
        <w:rPr>
          <w:rFonts w:ascii="Times New Roman" w:eastAsia="Times New Roman" w:hAnsi="Times New Roman" w:cs="Times New Roman"/>
          <w:i/>
          <w:color w:val="222222"/>
          <w:sz w:val="24"/>
          <w:szCs w:val="24"/>
          <w:highlight w:val="white"/>
        </w:rPr>
        <w:t>In the context of online social gathering, an act can be classified as a criminal act of fraud if it meets the elements of a criminal act of fraud as regulated in law. Police investigators have made prevention efforts through social media appeals and outreach to the public. Enforcement efforts are carried out after a criminal act occurs, with reference to Article 28 paragraph (1) Jo. Article 45A paragraph (1) Law Number 19 of 2016 and Article 378 of the Criminal Code. The law enforcement process involves the stages of inquiry, inquiry, examination, and handover of the case to the Public Prosecutor.</w:t>
      </w:r>
    </w:p>
    <w:p w14:paraId="0000000D" w14:textId="77777777" w:rsidR="000A47E5" w:rsidRPr="0035076E" w:rsidRDefault="000A47E5">
      <w:pPr>
        <w:ind w:left="720" w:firstLine="720"/>
        <w:jc w:val="both"/>
        <w:rPr>
          <w:rFonts w:ascii="Times New Roman" w:eastAsia="Times New Roman" w:hAnsi="Times New Roman" w:cs="Times New Roman"/>
          <w:i/>
          <w:color w:val="222222"/>
          <w:sz w:val="24"/>
          <w:szCs w:val="24"/>
          <w:highlight w:val="white"/>
        </w:rPr>
      </w:pPr>
    </w:p>
    <w:p w14:paraId="0000000E" w14:textId="77777777" w:rsidR="000A47E5" w:rsidRPr="0035076E" w:rsidRDefault="00000000">
      <w:pPr>
        <w:ind w:left="720" w:firstLine="720"/>
        <w:jc w:val="both"/>
        <w:rPr>
          <w:rFonts w:ascii="Times New Roman" w:eastAsia="Times New Roman" w:hAnsi="Times New Roman" w:cs="Times New Roman"/>
          <w:i/>
          <w:color w:val="222222"/>
          <w:sz w:val="24"/>
          <w:szCs w:val="24"/>
          <w:highlight w:val="white"/>
        </w:rPr>
      </w:pPr>
      <w:r w:rsidRPr="0035076E">
        <w:rPr>
          <w:rFonts w:ascii="Times New Roman" w:eastAsia="Times New Roman" w:hAnsi="Times New Roman" w:cs="Times New Roman"/>
          <w:b/>
          <w:i/>
          <w:color w:val="222222"/>
          <w:sz w:val="24"/>
          <w:szCs w:val="24"/>
          <w:highlight w:val="white"/>
        </w:rPr>
        <w:lastRenderedPageBreak/>
        <w:t>Keywords</w:t>
      </w:r>
      <w:r w:rsidRPr="0035076E">
        <w:rPr>
          <w:rFonts w:ascii="Times New Roman" w:eastAsia="Times New Roman" w:hAnsi="Times New Roman" w:cs="Times New Roman"/>
          <w:i/>
          <w:color w:val="222222"/>
          <w:sz w:val="24"/>
          <w:szCs w:val="24"/>
          <w:highlight w:val="white"/>
        </w:rPr>
        <w:t>: Online Social gathering, Crime of Fraud, Normative Law, Prevention Efforts, Law Enforcement</w:t>
      </w:r>
    </w:p>
    <w:p w14:paraId="0000000F" w14:textId="77777777" w:rsidR="000A47E5" w:rsidRPr="0035076E" w:rsidRDefault="000A47E5">
      <w:pPr>
        <w:ind w:left="720" w:firstLine="720"/>
        <w:jc w:val="both"/>
        <w:rPr>
          <w:rFonts w:ascii="Times New Roman" w:eastAsia="Times New Roman" w:hAnsi="Times New Roman" w:cs="Times New Roman"/>
          <w:i/>
          <w:color w:val="222222"/>
          <w:sz w:val="24"/>
          <w:szCs w:val="24"/>
          <w:highlight w:val="white"/>
        </w:rPr>
      </w:pPr>
    </w:p>
    <w:p w14:paraId="00000010" w14:textId="77777777" w:rsidR="000A47E5" w:rsidRPr="0035076E" w:rsidRDefault="00000000">
      <w:pPr>
        <w:numPr>
          <w:ilvl w:val="0"/>
          <w:numId w:val="3"/>
        </w:numPr>
        <w:jc w:val="both"/>
        <w:rPr>
          <w:rFonts w:ascii="Times New Roman" w:eastAsia="Times New Roman" w:hAnsi="Times New Roman" w:cs="Times New Roman"/>
          <w:b/>
          <w:sz w:val="24"/>
          <w:szCs w:val="24"/>
        </w:rPr>
      </w:pPr>
      <w:r w:rsidRPr="0035076E">
        <w:rPr>
          <w:rFonts w:ascii="Times New Roman" w:eastAsia="Times New Roman" w:hAnsi="Times New Roman" w:cs="Times New Roman"/>
          <w:b/>
          <w:sz w:val="24"/>
          <w:szCs w:val="24"/>
        </w:rPr>
        <w:t>Pendahuluan</w:t>
      </w:r>
    </w:p>
    <w:p w14:paraId="00000011" w14:textId="53A1C05A" w:rsidR="000A47E5" w:rsidRPr="0035076E" w:rsidRDefault="00000000">
      <w:pPr>
        <w:ind w:firstLine="720"/>
        <w:jc w:val="both"/>
        <w:rPr>
          <w:rFonts w:ascii="Times New Roman" w:eastAsia="Times New Roman" w:hAnsi="Times New Roman" w:cs="Times New Roman"/>
          <w:sz w:val="24"/>
          <w:szCs w:val="24"/>
        </w:rPr>
      </w:pPr>
      <w:r w:rsidRPr="0035076E">
        <w:rPr>
          <w:rFonts w:ascii="Times New Roman" w:eastAsia="Times New Roman" w:hAnsi="Times New Roman" w:cs="Times New Roman"/>
          <w:sz w:val="24"/>
          <w:szCs w:val="24"/>
        </w:rPr>
        <w:t xml:space="preserve">Saat ini, sistem perekonomian telah mengalami pergeseran fokus yang substansial, dengan teknologi informasi, terutama teknologi internet, memegang peran yang sangat penting. Teknologi ini telah menciptakan kemungkinan perubahan informasi yang cepat menyebar ke berbagai penjuru dunia melalui jaringan internet (Mukarromah, 2020). Perubahan ini menggiring kita ke dalam era di mana interaksi antar manusia dalam konteks bisnis, seperti e-commerce, tidak lagi terbatas pada cara konvensional yang langsung tatap muka. Sebaliknya, layanan internet dan teknologi elektronik menjadi komponen utama dalam menyalurkan informasi dengan cepat melalui jaringan internet (Mukarromah, 2020). Selain itu, internet telah membuka pintu untuk banyak manfaat, salah satunya adalah kemampuan untuk mengadakan arisan secara online </w:t>
      </w:r>
      <w:sdt>
        <w:sdtPr>
          <w:rPr>
            <w:rFonts w:ascii="Times New Roman" w:eastAsia="Times New Roman" w:hAnsi="Times New Roman" w:cs="Times New Roman"/>
            <w:color w:val="000000"/>
            <w:sz w:val="24"/>
            <w:szCs w:val="24"/>
          </w:rPr>
          <w:tag w:val="MENDELEY_CITATION_v3_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"/>
          <w:id w:val="-135253775"/>
          <w:placeholder>
            <w:docPart w:val="DefaultPlaceholder_-1854013440"/>
          </w:placeholder>
        </w:sdtPr>
        <w:sdtContent>
          <w:r w:rsidR="0035076E" w:rsidRPr="0035076E">
            <w:rPr>
              <w:rFonts w:ascii="Times New Roman" w:eastAsia="Times New Roman" w:hAnsi="Times New Roman" w:cs="Times New Roman"/>
              <w:color w:val="000000"/>
              <w:sz w:val="24"/>
              <w:szCs w:val="24"/>
            </w:rPr>
            <w:t>(Mukarromah, 2020)</w:t>
          </w:r>
        </w:sdtContent>
      </w:sdt>
    </w:p>
    <w:p w14:paraId="00000012" w14:textId="511EFD78" w:rsidR="000A47E5" w:rsidRPr="0035076E" w:rsidRDefault="00000000">
      <w:pPr>
        <w:ind w:firstLine="720"/>
        <w:jc w:val="both"/>
        <w:rPr>
          <w:rFonts w:ascii="Times New Roman" w:eastAsia="Times New Roman" w:hAnsi="Times New Roman" w:cs="Times New Roman"/>
          <w:sz w:val="24"/>
          <w:szCs w:val="24"/>
        </w:rPr>
      </w:pPr>
      <w:r w:rsidRPr="0035076E">
        <w:rPr>
          <w:rFonts w:ascii="Times New Roman" w:eastAsia="Times New Roman" w:hAnsi="Times New Roman" w:cs="Times New Roman"/>
          <w:sz w:val="24"/>
          <w:szCs w:val="24"/>
        </w:rPr>
        <w:t xml:space="preserve">Seiring perkembangan zaman, berbagai model arisan telah muncul, termasuk Arisan Biasa, Arisan Tembak, dan Arisan Online (Tanaiyo et al., 2023). Arisan Biasa melibatkan anggota yang harus menunggu giliran sesuai nomor urutan atau kocokan yang telah ditentukan. Namun, model ini memiliki kelemahan dalam memenuhi kebutuhan setiap anggota. Sementara itu, Arisan Tembak hadir sebagai inovasi dalam sistem arisan dengan lebih memprioritaskan kebutuhan setiap anggota. Di sini, istilah "piauw" digunakan untuk menggambarkan proses lelang kocokan arisan. Mekanisme yang menonjol dalam Arisan Tembak adalah anggota yang sangat membutuhkan uang harus bersedia membayar 10 persen dari total uang arisan agar bisa langsung menerima uang tersebut tanpa melalui proses kocokan </w:t>
      </w:r>
      <w:sdt>
        <w:sdtPr>
          <w:rPr>
            <w:rFonts w:ascii="Times New Roman" w:eastAsia="Times New Roman" w:hAnsi="Times New Roman" w:cs="Times New Roman"/>
            <w:color w:val="000000"/>
            <w:sz w:val="24"/>
            <w:szCs w:val="24"/>
          </w:rPr>
          <w:tag w:val="MENDELEY_CITATION_v3_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"/>
          <w:id w:val="-1642721105"/>
          <w:placeholder>
            <w:docPart w:val="DefaultPlaceholder_-1854013440"/>
          </w:placeholder>
        </w:sdtPr>
        <w:sdtContent>
          <w:r w:rsidR="0035076E" w:rsidRPr="0035076E">
            <w:rPr>
              <w:rFonts w:ascii="Times New Roman" w:eastAsia="Times New Roman" w:hAnsi="Times New Roman" w:cs="Times New Roman"/>
              <w:color w:val="000000"/>
              <w:sz w:val="24"/>
              <w:szCs w:val="24"/>
            </w:rPr>
            <w:t>(Tanaiyo et al., 2023)</w:t>
          </w:r>
        </w:sdtContent>
      </w:sdt>
    </w:p>
    <w:p w14:paraId="00000013" w14:textId="77777777" w:rsidR="000A47E5" w:rsidRPr="0035076E" w:rsidRDefault="00000000">
      <w:pPr>
        <w:ind w:firstLine="720"/>
        <w:jc w:val="both"/>
        <w:rPr>
          <w:rFonts w:ascii="Times New Roman" w:eastAsia="Times New Roman" w:hAnsi="Times New Roman" w:cs="Times New Roman"/>
          <w:sz w:val="24"/>
          <w:szCs w:val="24"/>
        </w:rPr>
      </w:pPr>
      <w:r w:rsidRPr="0035076E">
        <w:rPr>
          <w:rFonts w:ascii="Times New Roman" w:eastAsia="Times New Roman" w:hAnsi="Times New Roman" w:cs="Times New Roman"/>
          <w:sz w:val="24"/>
          <w:szCs w:val="24"/>
        </w:rPr>
        <w:t>Arisan Online adalah jenis arisan yang beroperasi di dunia maya, seringkali melalui media sosial atau platform online lainnya dengan perantara. Anggota dalam Arisan Online memiliki fleksibilitas lebih dalam memilih urutan mereka dan berapa jumlah yang mereka kontribusikan. Meskipun memberikan kenyamanan, sistem arisan ini juga memiliki risiko yang lebih tinggi terkait penipuan dan pelanggaran etika (Tanaiyo et al., 2023)</w:t>
      </w:r>
    </w:p>
    <w:p w14:paraId="00000014" w14:textId="18E78DF2" w:rsidR="000A47E5" w:rsidRPr="0035076E" w:rsidRDefault="00000000">
      <w:pPr>
        <w:ind w:firstLine="720"/>
        <w:jc w:val="both"/>
        <w:rPr>
          <w:rFonts w:ascii="Times New Roman" w:eastAsia="Times New Roman" w:hAnsi="Times New Roman" w:cs="Times New Roman"/>
          <w:sz w:val="24"/>
          <w:szCs w:val="24"/>
        </w:rPr>
      </w:pPr>
      <w:r w:rsidRPr="0035076E">
        <w:rPr>
          <w:rFonts w:ascii="Times New Roman" w:eastAsia="Times New Roman" w:hAnsi="Times New Roman" w:cs="Times New Roman"/>
          <w:sz w:val="24"/>
          <w:szCs w:val="24"/>
        </w:rPr>
        <w:t xml:space="preserve">Arisan online adalah kelompok orang yang secara berkala mengumpulkan uang atau barang yang bernilai sama, dan salah satu anggota dipilih sebagai pemenang setelah jumlah yang telah ditetapkan terkumpul. Proses pemilihan pemenang bisa melalui pengundian atau berdasarkan perjanjian yang dibuat oleh anggota kelompok arisan (Sipahutar, 2021). Selain itu, arisan online diatur oleh undang-undang, khususnya Undang-Undang Republik Indonesia Nomor 19 Tahun 2016 Tentang Informasi dan Transaksi Elektronik, yang mengatur transaksi elektronik sebagai hukum yang dilakukan melalui komputer, jaringan komputer, dan/atau media elektronik lainnya. Undang-Undang ini juga melarang penyebaran berita bohong dan menyesatkan dalam transaksi elektronik, yang dapat merugikan konsumen </w:t>
      </w:r>
      <w:sdt>
        <w:sdtPr>
          <w:rPr>
            <w:rFonts w:ascii="Times New Roman" w:eastAsia="Times New Roman" w:hAnsi="Times New Roman" w:cs="Times New Roman"/>
            <w:color w:val="000000"/>
            <w:sz w:val="24"/>
            <w:szCs w:val="24"/>
          </w:rPr>
          <w:tag w:val="MENDELEY_CITATION_v3_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"/>
          <w:id w:val="-1530175306"/>
          <w:placeholder>
            <w:docPart w:val="DefaultPlaceholder_-1854013440"/>
          </w:placeholder>
        </w:sdtPr>
        <w:sdtContent>
          <w:r w:rsidR="0035076E" w:rsidRPr="0035076E">
            <w:rPr>
              <w:rFonts w:ascii="Times New Roman" w:eastAsia="Times New Roman" w:hAnsi="Times New Roman" w:cs="Times New Roman"/>
              <w:color w:val="000000"/>
              <w:sz w:val="24"/>
              <w:szCs w:val="24"/>
            </w:rPr>
            <w:t>(Sipahatur, 2021)</w:t>
          </w:r>
        </w:sdtContent>
      </w:sdt>
    </w:p>
    <w:p w14:paraId="00000015" w14:textId="4262C016" w:rsidR="000A47E5" w:rsidRPr="0035076E" w:rsidRDefault="00000000">
      <w:pPr>
        <w:ind w:firstLine="720"/>
        <w:jc w:val="both"/>
        <w:rPr>
          <w:rFonts w:ascii="Times New Roman" w:eastAsia="Times New Roman" w:hAnsi="Times New Roman" w:cs="Times New Roman"/>
          <w:sz w:val="24"/>
          <w:szCs w:val="24"/>
        </w:rPr>
      </w:pPr>
      <w:r w:rsidRPr="0035076E">
        <w:rPr>
          <w:rFonts w:ascii="Times New Roman" w:eastAsia="Times New Roman" w:hAnsi="Times New Roman" w:cs="Times New Roman"/>
          <w:sz w:val="24"/>
          <w:szCs w:val="24"/>
        </w:rPr>
        <w:t xml:space="preserve">Kejahatan siber, yang melibatkan penggunaan teknologi komputer sebagai alat utama, telah menjadi isu yang semakin serius. Menurut Parker, kejahatan siber adalah kejadian yang terkait dengan teknologi komputer di mana seorang korban mengalami atau akan mengalami kerugian, dan seorang pelaku dengan sengaja memperoleh atau akan memperoleh keuntungan dari situasi tersebut (Bethari &amp; Wahyudi, 2021). Salah satu contoh tindak pidana yang tengah marak adalah penipuan secara online, yang merujuk pada perbuatan melanggar hukum yang melibatkan modus arisan online </w:t>
      </w:r>
      <w:sdt>
        <w:sdtPr>
          <w:rPr>
            <w:rFonts w:ascii="Times New Roman" w:eastAsia="Times New Roman" w:hAnsi="Times New Roman" w:cs="Times New Roman"/>
            <w:sz w:val="24"/>
            <w:szCs w:val="24"/>
          </w:rPr>
          <w:tag w:val="MENDELEY_CITATION_v3_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"/>
          <w:id w:val="2068828476"/>
          <w:placeholder>
            <w:docPart w:val="DefaultPlaceholder_-1854013440"/>
          </w:placeholder>
        </w:sdtPr>
        <w:sdtContent>
          <w:r w:rsidR="0035076E" w:rsidRPr="0035076E">
            <w:rPr>
              <w:rFonts w:ascii="Times New Roman" w:eastAsia="Times New Roman" w:hAnsi="Times New Roman" w:cs="Times New Roman"/>
            </w:rPr>
            <w:t>(E. Wahyudi &amp; Bethari, 2021)</w:t>
          </w:r>
        </w:sdtContent>
      </w:sdt>
    </w:p>
    <w:p w14:paraId="00000016" w14:textId="45A4034B" w:rsidR="000A47E5" w:rsidRPr="0035076E" w:rsidRDefault="00000000">
      <w:pPr>
        <w:ind w:firstLine="720"/>
        <w:jc w:val="both"/>
        <w:rPr>
          <w:rFonts w:ascii="Times New Roman" w:eastAsia="Times New Roman" w:hAnsi="Times New Roman" w:cs="Times New Roman"/>
          <w:sz w:val="24"/>
          <w:szCs w:val="24"/>
        </w:rPr>
      </w:pPr>
      <w:r w:rsidRPr="0035076E">
        <w:rPr>
          <w:rFonts w:ascii="Times New Roman" w:eastAsia="Times New Roman" w:hAnsi="Times New Roman" w:cs="Times New Roman"/>
          <w:sz w:val="24"/>
          <w:szCs w:val="24"/>
        </w:rPr>
        <w:lastRenderedPageBreak/>
        <w:t>Arisan sendiri adalah pengumpulan uang atau barang dengan nilai yang sama oleh beberapa orang, dan pembagian hadiah dilakukan melalui pengundian. Namun, dalam arisan online, semua ini dilakukan tanpa pertemuan fisik dengan pengelola arisan. Transaksi pembayaran uang arisan dapat dilakukan melalui mesin ATM atau menggunakan mobile banking, sementara pengundian dilakukan secara otomatis melalui media elektronik, yang memerlukan tingkat kepercayaan yang tinggi dari anggota arisan</w:t>
      </w:r>
      <w:r w:rsidR="0035076E" w:rsidRPr="0035076E">
        <w:rPr>
          <w:rFonts w:ascii="Times New Roman" w:eastAsia="Times New Roman" w:hAnsi="Times New Roman" w:cs="Times New Roman"/>
          <w:sz w:val="24"/>
          <w:szCs w:val="24"/>
        </w:rPr>
        <w:t xml:space="preserve">. </w:t>
      </w:r>
      <w:r w:rsidRPr="0035076E">
        <w:rPr>
          <w:rFonts w:ascii="Times New Roman" w:eastAsia="Times New Roman" w:hAnsi="Times New Roman" w:cs="Times New Roman"/>
          <w:sz w:val="24"/>
          <w:szCs w:val="24"/>
        </w:rPr>
        <w:t xml:space="preserve">Namun, penting untuk diingat bahwa arisan online juga membawa risiko tinggi terkait penipuan dan penggelapan karena anggota tidak berinteraksi langsung satu sama lain </w:t>
      </w:r>
      <w:sdt>
        <w:sdtPr>
          <w:rPr>
            <w:rFonts w:ascii="Times New Roman" w:eastAsia="Times New Roman" w:hAnsi="Times New Roman" w:cs="Times New Roman"/>
            <w:sz w:val="24"/>
            <w:szCs w:val="24"/>
          </w:rPr>
          <w:tag w:val="MENDELEY_CITATION_v3_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"/>
          <w:id w:val="-2058609111"/>
          <w:placeholder>
            <w:docPart w:val="E15DAB3A4C494D42AB636625AAE4F02C"/>
          </w:placeholder>
        </w:sdtPr>
        <w:sdtContent>
          <w:r w:rsidR="0035076E" w:rsidRPr="0035076E">
            <w:rPr>
              <w:rFonts w:ascii="Times New Roman" w:eastAsia="Times New Roman" w:hAnsi="Times New Roman" w:cs="Times New Roman"/>
            </w:rPr>
            <w:t>(E. Wahyudi &amp; Bethari, 2021)</w:t>
          </w:r>
        </w:sdtContent>
      </w:sdt>
    </w:p>
    <w:p w14:paraId="00000017" w14:textId="14C8B5CF" w:rsidR="000A47E5" w:rsidRPr="0035076E" w:rsidRDefault="00000000">
      <w:pPr>
        <w:ind w:firstLine="720"/>
        <w:jc w:val="both"/>
        <w:rPr>
          <w:rFonts w:ascii="Times New Roman" w:eastAsia="Times New Roman" w:hAnsi="Times New Roman" w:cs="Times New Roman"/>
          <w:sz w:val="24"/>
          <w:szCs w:val="24"/>
        </w:rPr>
      </w:pPr>
      <w:r w:rsidRPr="0035076E">
        <w:rPr>
          <w:rFonts w:ascii="Times New Roman" w:eastAsia="Times New Roman" w:hAnsi="Times New Roman" w:cs="Times New Roman"/>
          <w:sz w:val="24"/>
          <w:szCs w:val="24"/>
        </w:rPr>
        <w:t xml:space="preserve">Penipuan dalam konteks arisan online ini dikenakan sanksi pidana sesuai dengan Pasal 45A ayat (1) dalam Undang-Undang Nomor 19 Tahun 2016 tentang Perubahan Atas Undang-Undang Nomor 11 Tahun 2008 tentang Informasi dan Transaksi Elektronik (Gultom, 2022). Meskipun Undang-Undang ITE ini tidak secara eksplisit merinci penipuan dalam konteks arisan online, perbuatan tersebut secara substansial sesuai atau setara dengan unsur-unsur penipuan yang tercantum dalam Pasal 378 KUHP, hanya saja menggunakan media elektronik atau online sebagai alat pelaksanannya </w:t>
      </w:r>
      <w:sdt>
        <w:sdtPr>
          <w:rPr>
            <w:rFonts w:ascii="Times New Roman" w:eastAsia="Times New Roman" w:hAnsi="Times New Roman" w:cs="Times New Roman"/>
            <w:color w:val="000000"/>
            <w:sz w:val="24"/>
            <w:szCs w:val="24"/>
          </w:rPr>
          <w:tag w:val="MENDELEY_CITATION_v3_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"/>
          <w:id w:val="663440853"/>
          <w:placeholder>
            <w:docPart w:val="DefaultPlaceholder_-1854013440"/>
          </w:placeholder>
        </w:sdtPr>
        <w:sdtContent>
          <w:r w:rsidR="0035076E" w:rsidRPr="0035076E">
            <w:rPr>
              <w:rFonts w:ascii="Times New Roman" w:eastAsia="Times New Roman" w:hAnsi="Times New Roman" w:cs="Times New Roman"/>
              <w:color w:val="000000"/>
              <w:sz w:val="24"/>
              <w:szCs w:val="24"/>
            </w:rPr>
            <w:t>(Gultom, 2022)</w:t>
          </w:r>
        </w:sdtContent>
      </w:sdt>
    </w:p>
    <w:p w14:paraId="00000018" w14:textId="77777777" w:rsidR="000A47E5" w:rsidRPr="0035076E" w:rsidRDefault="00000000">
      <w:pPr>
        <w:ind w:firstLine="720"/>
        <w:jc w:val="both"/>
        <w:rPr>
          <w:rFonts w:ascii="Times New Roman" w:eastAsia="Times New Roman" w:hAnsi="Times New Roman" w:cs="Times New Roman"/>
          <w:sz w:val="24"/>
          <w:szCs w:val="24"/>
        </w:rPr>
      </w:pPr>
      <w:r w:rsidRPr="0035076E">
        <w:rPr>
          <w:rFonts w:ascii="Times New Roman" w:eastAsia="Times New Roman" w:hAnsi="Times New Roman" w:cs="Times New Roman"/>
          <w:sz w:val="24"/>
          <w:szCs w:val="24"/>
        </w:rPr>
        <w:t>Kaidah hukum yang tertuang dalam Pasal 378 KUHP dan Pasal 45A ayat (1) Undang-Undang Nomor 19 Tahun 2016 tentang Perubahan Atas Undang-Undang Nomor 11 Tahun 2008 tentang Informasi dan Transaksi Elektronik memberikan indikasi bahwa penipuan merupakan tindakan kriminal yang dapat dikenakan sanksi pidana. Penegakan sanksi pidana ini dapat dilakukan oleh pihak penegak hukum, seperti Kepolisian, jika terbukti bahwa pelaksanaan arisan online memenuhi unsur-unsur tindak pidana penipuan. Dengan demikian, pelaku penipuan dalam konteks arisan online bisa mendapatkan konsekuensi hukum sesuai ketentuan tersebut. Konsekuensi hukum ini timbul dari adanya hubungan antara subjek hukum yang bersepakat untuk membentuk suatu hubungan hukum yang tunduk pada peraturan perundang-undangan yang berlaku (Gultom, 2022)</w:t>
      </w:r>
    </w:p>
    <w:p w14:paraId="00000019" w14:textId="77777777" w:rsidR="000A47E5" w:rsidRPr="0035076E" w:rsidRDefault="00000000">
      <w:pPr>
        <w:ind w:firstLine="720"/>
        <w:jc w:val="both"/>
        <w:rPr>
          <w:rFonts w:ascii="Times New Roman" w:eastAsia="Times New Roman" w:hAnsi="Times New Roman" w:cs="Times New Roman"/>
          <w:sz w:val="24"/>
          <w:szCs w:val="24"/>
        </w:rPr>
      </w:pPr>
      <w:r w:rsidRPr="0035076E">
        <w:rPr>
          <w:rFonts w:ascii="Times New Roman" w:eastAsia="Times New Roman" w:hAnsi="Times New Roman" w:cs="Times New Roman"/>
          <w:sz w:val="24"/>
          <w:szCs w:val="24"/>
        </w:rPr>
        <w:t>Dalam skema yang telah dijelaskan, dapat dilihat bahwa penyelenggara arisan pertama-tama akan mengumpulkan anggota arisan melalui media sosial. Setelah terkumpul, penyelenggara arisan akan menawarkan imbalan berlipat ganda kepada anggota yang ikut serta dalam arisan online tersebut. Untuk mendapatkan urutan pertama dalam arisan, anggota setuju untuk menyumbangkan sejumlah uang bervariasi kepada penyelenggara arisan online. Anggota yang menyumbangkan jumlah uang paling besar akan mendapatkan urutan pertama, dan besarnya kontribusi ini berkisar antara 100 hingga 500 ribu rupiah per anggota. Uang yang dikumpulkan bersama dengan uang arisan online akan disetor ke penyelenggara arisan online, dan anggota harus menunggu giliran untuk menerima hasil arisan tersebut.</w:t>
      </w:r>
    </w:p>
    <w:p w14:paraId="0000001A" w14:textId="72208C62" w:rsidR="000A47E5" w:rsidRPr="0035076E" w:rsidRDefault="00000000">
      <w:pPr>
        <w:ind w:firstLine="720"/>
        <w:jc w:val="both"/>
        <w:rPr>
          <w:rFonts w:ascii="Times New Roman" w:eastAsia="Times New Roman" w:hAnsi="Times New Roman" w:cs="Times New Roman"/>
          <w:sz w:val="24"/>
          <w:szCs w:val="24"/>
        </w:rPr>
      </w:pPr>
      <w:r w:rsidRPr="0035076E">
        <w:rPr>
          <w:rFonts w:ascii="Times New Roman" w:eastAsia="Times New Roman" w:hAnsi="Times New Roman" w:cs="Times New Roman"/>
          <w:sz w:val="24"/>
          <w:szCs w:val="24"/>
        </w:rPr>
        <w:t xml:space="preserve">Namun, seiring berjalannya waktu, penyelenggara arisan online mulai melakukan tindakan curang dengan memasukkan akun-akun palsu ke dalam grup Facebook/WhatsApp yang berisi anggota arisan online. Akun-akun ini sebenarnya dimiliki oleh penyelenggara arisan itu sendiri, tetapi anggota tidak curiga dan tetap menunggu hasil dari arisan online. Ketika saat penarikan uang arisan online tiba, terjadi masalah yang membuat beberapa anggota mulai menagih penyelenggara arisan online yang telah menerima uang kontribusi mereka. Hal ini disebabkan oleh fakta bahwa akun-akun palsu yang dimasukkan oleh penyelenggara arisan online sebenarnya tidak pernah membayar kontribusi arisan. Akun-akun ini sengaja diatur sedemikian rupa untuk menjadi alasan masalah dalam arisan tersebut, padahal sejumlah uang yang sudah dikumpulkan oleh penyelenggara arisan online digunakan untuk keuntungan </w:t>
      </w:r>
      <w:r w:rsidRPr="0035076E">
        <w:rPr>
          <w:rFonts w:ascii="Times New Roman" w:eastAsia="Times New Roman" w:hAnsi="Times New Roman" w:cs="Times New Roman"/>
          <w:sz w:val="24"/>
          <w:szCs w:val="24"/>
        </w:rPr>
        <w:lastRenderedPageBreak/>
        <w:t xml:space="preserve">pribadi tanpa memperhitungkan nasib anggota arisan online yang menjadi korban Tindak Pidana Penipuan Arisan Online </w:t>
      </w:r>
      <w:sdt>
        <w:sdtPr>
          <w:rPr>
            <w:rFonts w:ascii="Times New Roman" w:eastAsia="Times New Roman" w:hAnsi="Times New Roman" w:cs="Times New Roman"/>
            <w:color w:val="000000"/>
            <w:sz w:val="24"/>
            <w:szCs w:val="24"/>
          </w:rPr>
          <w:tag w:val="MENDELEY_CITATION_v3_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"/>
          <w:id w:val="-1291042253"/>
          <w:placeholder>
            <w:docPart w:val="DefaultPlaceholder_-1854013440"/>
          </w:placeholder>
        </w:sdtPr>
        <w:sdtContent>
          <w:r w:rsidR="0035076E" w:rsidRPr="0035076E">
            <w:rPr>
              <w:rFonts w:ascii="Times New Roman" w:eastAsia="Times New Roman" w:hAnsi="Times New Roman" w:cs="Times New Roman"/>
              <w:color w:val="000000"/>
              <w:sz w:val="24"/>
              <w:szCs w:val="24"/>
            </w:rPr>
            <w:t>(Meidianto, 2018)</w:t>
          </w:r>
        </w:sdtContent>
      </w:sdt>
    </w:p>
    <w:p w14:paraId="0000001B" w14:textId="77777777" w:rsidR="000A47E5" w:rsidRPr="0035076E" w:rsidRDefault="00000000">
      <w:pPr>
        <w:ind w:firstLine="720"/>
        <w:jc w:val="both"/>
        <w:rPr>
          <w:rFonts w:ascii="Times New Roman" w:eastAsia="Times New Roman" w:hAnsi="Times New Roman" w:cs="Times New Roman"/>
          <w:sz w:val="24"/>
          <w:szCs w:val="24"/>
        </w:rPr>
      </w:pPr>
      <w:r w:rsidRPr="0035076E">
        <w:rPr>
          <w:rFonts w:ascii="Times New Roman" w:eastAsia="Times New Roman" w:hAnsi="Times New Roman" w:cs="Times New Roman"/>
          <w:sz w:val="24"/>
          <w:szCs w:val="24"/>
        </w:rPr>
        <w:t>Beberapa insiden penipuan online yang terjadi mencakup kasus melibatkan RAK (24), seorang mantan model, yang diduga menipu ratusan orang dengan memanfaatkan arisan online dan investasi berlipat ganda. Setelah mengumpulkan sejumlah uang besar dari para korban, Renny menghilang tanpa jejak. Transaksi arisan online dan investasi ini dilakukan tanpa pertemuan langsung, dengan interaksi antara pelaku dan korban berlangsung melalui WhatsApp Grup (WAG). RAK terakhir terlihat berada di rumah orangtuanya di Persijam, Jambi Selatan, setelah menghilang sejak 19 Juli 2020. Salah satu korban, Dina Aulia, telah melaporkan RAK ke Polda Jambi dengan tuduhan penipuan dan pelanggaran UU Informasi dan Transaksi Elektronik (ITE). Modus operasi pelaku melibatkan pengumuman arisan online di platform Instagram dan menawarkan investasi berlipat ganda.</w:t>
      </w:r>
    </w:p>
    <w:p w14:paraId="0000001C" w14:textId="77777777" w:rsidR="000A47E5" w:rsidRPr="0035076E" w:rsidRDefault="00000000">
      <w:pPr>
        <w:ind w:firstLine="720"/>
        <w:jc w:val="both"/>
        <w:rPr>
          <w:rFonts w:ascii="Times New Roman" w:eastAsia="Times New Roman" w:hAnsi="Times New Roman" w:cs="Times New Roman"/>
          <w:sz w:val="24"/>
          <w:szCs w:val="24"/>
        </w:rPr>
      </w:pPr>
      <w:r w:rsidRPr="0035076E">
        <w:rPr>
          <w:rFonts w:ascii="Times New Roman" w:eastAsia="Times New Roman" w:hAnsi="Times New Roman" w:cs="Times New Roman"/>
          <w:sz w:val="24"/>
          <w:szCs w:val="24"/>
        </w:rPr>
        <w:t>Pada tanggal 22 Juli 2020, terjadi kasus penipuan online melalui arisan online di Kabupaten Bengkulu yang melibatkan tersangka KD (23). Korban penipuan arisan online ini termasuk Halima Tussadya (24), Yuni Lestari dengan kerugian Rp 4,5 juta, Reza Rahayu dengan kerugian Rp 3,6 juta, dan Eka Meiliyen Dharma dengan kerugian Rp 13.150.000. Total uang yang digelapkan oleh tersangka mencapai Rp 33 juta. Tiga korban tersebut belum melaporkan kasus ini, tetapi dijadikan saksi. Saat ini, KD telah ditahan untuk mempermudah pemeriksaan. KD dijerat dengan pasal 378 KUHP dan pasal 372 KUHP dengan ancaman hukuman penjara paling lama delapan tahun.</w:t>
      </w:r>
    </w:p>
    <w:p w14:paraId="0000001D" w14:textId="77777777" w:rsidR="000A47E5" w:rsidRPr="0035076E" w:rsidRDefault="00000000">
      <w:pPr>
        <w:ind w:firstLine="720"/>
        <w:jc w:val="both"/>
        <w:rPr>
          <w:rFonts w:ascii="Times New Roman" w:eastAsia="Times New Roman" w:hAnsi="Times New Roman" w:cs="Times New Roman"/>
          <w:sz w:val="24"/>
          <w:szCs w:val="24"/>
        </w:rPr>
      </w:pPr>
      <w:r w:rsidRPr="0035076E">
        <w:rPr>
          <w:rFonts w:ascii="Times New Roman" w:eastAsia="Times New Roman" w:hAnsi="Times New Roman" w:cs="Times New Roman"/>
          <w:sz w:val="24"/>
          <w:szCs w:val="24"/>
        </w:rPr>
        <w:t>Di Medan, Sumatera Utara, seorang selebgram bernama Dea Rizki Andriani (DRA) juga terlibat dalam kasus dugaan penipuan dengan modus arisan online. DRA diduga telah menggelapkan dana arisan online senilai miliaran rupiah. Setelah menjalani pemeriksaan, DRA ditetapkan sebagai tersangka. Kasus penipuan dengan modus arisan online yang melibatkan DRA mulai terungkap pada akhir tahun 2020 setelah menerima laporan dari beberapa korban yang mengaku menjadi korban penipuan.</w:t>
      </w:r>
    </w:p>
    <w:p w14:paraId="0000001E" w14:textId="294A1193" w:rsidR="000A47E5" w:rsidRPr="0035076E" w:rsidRDefault="00000000">
      <w:pPr>
        <w:ind w:firstLine="720"/>
        <w:jc w:val="both"/>
        <w:rPr>
          <w:rFonts w:ascii="Times New Roman" w:eastAsia="Times New Roman" w:hAnsi="Times New Roman" w:cs="Times New Roman"/>
          <w:sz w:val="24"/>
          <w:szCs w:val="24"/>
        </w:rPr>
      </w:pPr>
      <w:r w:rsidRPr="0035076E">
        <w:rPr>
          <w:rFonts w:ascii="Times New Roman" w:eastAsia="Times New Roman" w:hAnsi="Times New Roman" w:cs="Times New Roman"/>
          <w:sz w:val="24"/>
          <w:szCs w:val="24"/>
        </w:rPr>
        <w:t xml:space="preserve">Selain itu, terdapat kasus penipuan arisan online senilai Rp. 42 juta yang melibatkan Kholidiyah Br Peranginangin (24), yang melaporkan pemilik arisan T online dengan inisial TDM alias TN (25) atas dugaan penipuan. TDM atau TN tinggal di sebuah perumahan di Jalan Perjuangan, Sunggal. Kholidiyah mengaku kesal karena tidak menerima pencairan uang arisan yang seharusnya diterimanya pada bulan Juli 2020. Ia telah bergabung dengan arisan online milik TDM alias TN selama 7 bulan. Kholidiyah memasukkan uang dalam tiga slot penyerahan yang berbeda, dengan total penarikan yang dijanjikan oleh TN sebesar Rp 100 juta. Penyerahan uang dilakukan melalui transfer, yang dapat ditemukan buktinya </w:t>
      </w:r>
      <w:sdt>
        <w:sdtPr>
          <w:rPr>
            <w:rFonts w:ascii="Times New Roman" w:eastAsia="Times New Roman" w:hAnsi="Times New Roman" w:cs="Times New Roman"/>
            <w:color w:val="000000"/>
            <w:sz w:val="24"/>
            <w:szCs w:val="24"/>
          </w:rPr>
          <w:tag w:val="MENDELEY_CITATION_v3_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"/>
          <w:id w:val="-1019464977"/>
          <w:placeholder>
            <w:docPart w:val="DefaultPlaceholder_-1854013440"/>
          </w:placeholder>
        </w:sdtPr>
        <w:sdtContent>
          <w:r w:rsidR="0035076E" w:rsidRPr="0035076E">
            <w:rPr>
              <w:rFonts w:ascii="Times New Roman" w:eastAsia="Times New Roman" w:hAnsi="Times New Roman" w:cs="Times New Roman"/>
              <w:color w:val="000000"/>
              <w:sz w:val="24"/>
              <w:szCs w:val="24"/>
            </w:rPr>
            <w:t>(D. Wahyudi et al., 2022)</w:t>
          </w:r>
        </w:sdtContent>
      </w:sdt>
    </w:p>
    <w:p w14:paraId="0000001F" w14:textId="77777777" w:rsidR="000A47E5" w:rsidRPr="0035076E" w:rsidRDefault="000A47E5">
      <w:pPr>
        <w:ind w:firstLine="720"/>
        <w:jc w:val="both"/>
        <w:rPr>
          <w:rFonts w:ascii="Times New Roman" w:eastAsia="Times New Roman" w:hAnsi="Times New Roman" w:cs="Times New Roman"/>
          <w:sz w:val="24"/>
          <w:szCs w:val="24"/>
        </w:rPr>
      </w:pPr>
    </w:p>
    <w:p w14:paraId="00000020" w14:textId="77777777" w:rsidR="000A47E5" w:rsidRPr="0035076E" w:rsidRDefault="00000000">
      <w:pPr>
        <w:numPr>
          <w:ilvl w:val="0"/>
          <w:numId w:val="3"/>
        </w:numPr>
        <w:jc w:val="both"/>
        <w:rPr>
          <w:rFonts w:ascii="Times New Roman" w:eastAsia="Times New Roman" w:hAnsi="Times New Roman" w:cs="Times New Roman"/>
          <w:b/>
          <w:sz w:val="24"/>
          <w:szCs w:val="24"/>
        </w:rPr>
      </w:pPr>
      <w:r w:rsidRPr="0035076E">
        <w:rPr>
          <w:rFonts w:ascii="Times New Roman" w:eastAsia="Times New Roman" w:hAnsi="Times New Roman" w:cs="Times New Roman"/>
          <w:b/>
          <w:sz w:val="24"/>
          <w:szCs w:val="24"/>
        </w:rPr>
        <w:t>Metode</w:t>
      </w:r>
    </w:p>
    <w:p w14:paraId="00000021" w14:textId="0E5B186A" w:rsidR="000A47E5" w:rsidRPr="0035076E" w:rsidRDefault="00000000">
      <w:pPr>
        <w:ind w:firstLine="720"/>
        <w:jc w:val="both"/>
        <w:rPr>
          <w:rFonts w:ascii="Times New Roman" w:eastAsia="Times New Roman" w:hAnsi="Times New Roman" w:cs="Times New Roman"/>
          <w:sz w:val="24"/>
          <w:szCs w:val="24"/>
        </w:rPr>
      </w:pPr>
      <w:r w:rsidRPr="0035076E">
        <w:rPr>
          <w:rFonts w:ascii="Times New Roman" w:eastAsia="Times New Roman" w:hAnsi="Times New Roman" w:cs="Times New Roman"/>
          <w:sz w:val="24"/>
          <w:szCs w:val="24"/>
        </w:rPr>
        <w:t xml:space="preserve">Penelitian ini memanfaatkan metode pendekatan kualitatif dengan landasan utama yang diambil dari kerangka kerja hukum normatif </w:t>
      </w:r>
      <w:sdt>
        <w:sdtPr>
          <w:rPr>
            <w:rFonts w:ascii="Times New Roman" w:eastAsia="Times New Roman" w:hAnsi="Times New Roman" w:cs="Times New Roman"/>
            <w:sz w:val="24"/>
            <w:szCs w:val="24"/>
          </w:rPr>
          <w:tag w:val="MENDELEY_CITATION_v3_eyJjaXRhdGlvbklEIjoiTUVOREVMRVlfQ0lUQVRJT05fMWJjODIxMWUtYzlkMi00NjVmLWI2YTctMDg2YjhkMDBlYTQz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2049521061"/>
          <w:placeholder>
            <w:docPart w:val="DefaultPlaceholder_-1854013440"/>
          </w:placeholder>
        </w:sdtPr>
        <w:sdtContent>
          <w:r w:rsidR="0035076E" w:rsidRPr="0035076E">
            <w:rPr>
              <w:rFonts w:ascii="Times New Roman" w:eastAsia="Times New Roman" w:hAnsi="Times New Roman" w:cs="Times New Roman"/>
            </w:rPr>
            <w:t>(Robbani &amp; Yuliana, 2022)</w:t>
          </w:r>
        </w:sdtContent>
      </w:sdt>
      <w:r w:rsidRPr="0035076E">
        <w:rPr>
          <w:rFonts w:ascii="Times New Roman" w:eastAsia="Times New Roman" w:hAnsi="Times New Roman" w:cs="Times New Roman"/>
          <w:sz w:val="24"/>
          <w:szCs w:val="24"/>
        </w:rPr>
        <w:t xml:space="preserve"> Data yang terkumpul bersifat deskriptif dan diperoleh melalui berbagai sumber, termasuk dokumen, wawancara, serta pengamatan individu yang terlibat dalam konteks penelitian.</w:t>
      </w:r>
    </w:p>
    <w:p w14:paraId="00000022" w14:textId="0A3AF14E" w:rsidR="000A47E5" w:rsidRPr="0035076E" w:rsidRDefault="00000000">
      <w:pPr>
        <w:ind w:firstLine="720"/>
        <w:jc w:val="both"/>
        <w:rPr>
          <w:rFonts w:ascii="Times New Roman" w:eastAsia="Times New Roman" w:hAnsi="Times New Roman" w:cs="Times New Roman"/>
          <w:sz w:val="24"/>
          <w:szCs w:val="24"/>
        </w:rPr>
      </w:pPr>
      <w:r w:rsidRPr="0035076E">
        <w:rPr>
          <w:rFonts w:ascii="Times New Roman" w:eastAsia="Times New Roman" w:hAnsi="Times New Roman" w:cs="Times New Roman"/>
          <w:sz w:val="24"/>
          <w:szCs w:val="24"/>
        </w:rPr>
        <w:t xml:space="preserve">Dengan menerapkan pendekatan hukum normatif, tujuan dari penelitian ini adalah untuk menginvestigasi pemahaman dan mengevaluasi struktur hukum yang berlaku, prinsip-prinsip yang menjadi dasarnya, regulasi yang relevan, dan pelaksanaannya dalam konteks praktis </w:t>
      </w:r>
      <w:sdt>
        <w:sdtPr>
          <w:rPr>
            <w:rFonts w:ascii="Times New Roman" w:eastAsia="Times New Roman" w:hAnsi="Times New Roman" w:cs="Times New Roman"/>
            <w:sz w:val="24"/>
            <w:szCs w:val="24"/>
          </w:rPr>
          <w:tag w:val="MENDELEY_CITATION_v3_eyJjaXRhdGlvbklEIjoiTUVOREVMRVlfQ0lUQVRJT05fYmJhNjYxNDUtOTMxNS00ZWFjLTk1NzMtMWFkODk2NTgxNDBl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486972046"/>
          <w:placeholder>
            <w:docPart w:val="DefaultPlaceholder_-1854013440"/>
          </w:placeholder>
        </w:sdtPr>
        <w:sdtContent>
          <w:r w:rsidR="0035076E" w:rsidRPr="0035076E">
            <w:rPr>
              <w:rFonts w:ascii="Times New Roman" w:eastAsia="Times New Roman" w:hAnsi="Times New Roman" w:cs="Times New Roman"/>
            </w:rPr>
            <w:t>(Putranto &amp; Harvelian, 2023)</w:t>
          </w:r>
        </w:sdtContent>
      </w:sdt>
    </w:p>
    <w:p w14:paraId="00000023" w14:textId="1C7EEFB3" w:rsidR="000A47E5" w:rsidRPr="0035076E" w:rsidRDefault="00000000">
      <w:pPr>
        <w:ind w:firstLine="720"/>
        <w:jc w:val="both"/>
        <w:rPr>
          <w:rFonts w:ascii="Times New Roman" w:eastAsia="Times New Roman" w:hAnsi="Times New Roman" w:cs="Times New Roman"/>
          <w:sz w:val="24"/>
          <w:szCs w:val="24"/>
        </w:rPr>
      </w:pPr>
      <w:r w:rsidRPr="0035076E">
        <w:rPr>
          <w:rFonts w:ascii="Times New Roman" w:eastAsia="Times New Roman" w:hAnsi="Times New Roman" w:cs="Times New Roman"/>
          <w:sz w:val="24"/>
          <w:szCs w:val="24"/>
        </w:rPr>
        <w:lastRenderedPageBreak/>
        <w:t xml:space="preserve">Dalam melakukan analisis literatur, pentingnya literasi menjadi sangat mencolok. Keputusan untuk menitikberatkan pada literatur diambil karena tersedia banyak sumber literatur, termasuk buku, artikel ilmiah, dan referensi literatur yang relevan. Pendekatan ini difokuskan pada pemahaman terhadap norma-norma hukum yang berkaitan dengan subjek penelitian </w:t>
      </w:r>
      <w:sdt>
        <w:sdtPr>
          <w:rPr>
            <w:rFonts w:ascii="Times New Roman" w:eastAsia="Times New Roman" w:hAnsi="Times New Roman" w:cs="Times New Roman"/>
            <w:color w:val="000000"/>
            <w:sz w:val="24"/>
            <w:szCs w:val="24"/>
          </w:rPr>
          <w:tag w:val="MENDELEY_CITATION_v3_eyJjaXRhdGlvbklEIjoiTUVOREVMRVlfQ0lUQVRJT05fZDdhYmE4NTUtNGEwZS00YmM3LWIwYWMtZTFiMTQ3ODljYzk4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1176387559"/>
          <w:placeholder>
            <w:docPart w:val="DefaultPlaceholder_-1854013440"/>
          </w:placeholder>
        </w:sdtPr>
        <w:sdtContent>
          <w:r w:rsidR="0035076E" w:rsidRPr="0035076E">
            <w:rPr>
              <w:rFonts w:ascii="Times New Roman" w:eastAsia="Times New Roman" w:hAnsi="Times New Roman" w:cs="Times New Roman"/>
              <w:color w:val="000000"/>
              <w:sz w:val="24"/>
              <w:szCs w:val="24"/>
            </w:rPr>
            <w:t>(Lewansorna et al., 2022)</w:t>
          </w:r>
        </w:sdtContent>
      </w:sdt>
    </w:p>
    <w:p w14:paraId="00000024" w14:textId="1F7737B1" w:rsidR="000A47E5" w:rsidRPr="0035076E" w:rsidRDefault="00000000">
      <w:pPr>
        <w:ind w:firstLine="720"/>
        <w:jc w:val="both"/>
        <w:rPr>
          <w:rFonts w:ascii="Times New Roman" w:eastAsia="Times New Roman" w:hAnsi="Times New Roman" w:cs="Times New Roman"/>
          <w:sz w:val="24"/>
          <w:szCs w:val="24"/>
        </w:rPr>
      </w:pPr>
      <w:r w:rsidRPr="0035076E">
        <w:rPr>
          <w:rFonts w:ascii="Times New Roman" w:eastAsia="Times New Roman" w:hAnsi="Times New Roman" w:cs="Times New Roman"/>
          <w:sz w:val="24"/>
          <w:szCs w:val="24"/>
        </w:rPr>
        <w:t xml:space="preserve">Saat menjalankan penelitian ini, sumber referensi dibagi menjadi dua kategori, yaitu sumber primer dan sumber sekunder. Sumber primer melibatkan dokumen resmi yang dikeluarkan oleh instansi pemerintah yang berwenang dan dokumen lain yang memiliki validitas yang dapat dipertanggungjawabkan </w:t>
      </w:r>
      <w:sdt>
        <w:sdtPr>
          <w:rPr>
            <w:rFonts w:ascii="Times New Roman" w:eastAsia="Times New Roman" w:hAnsi="Times New Roman" w:cs="Times New Roman"/>
            <w:color w:val="000000"/>
            <w:sz w:val="24"/>
            <w:szCs w:val="24"/>
          </w:rPr>
          <w:tag w:val="MENDELEY_CITATION_v3_eyJjaXRhdGlvbklEIjoiTUVOREVMRVlfQ0lUQVRJT05fNjkxMDMwNGYtYmRjZi00NDA3LTk4ODgtMjE3YjQ5MTRkOWU3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592081774"/>
          <w:placeholder>
            <w:docPart w:val="DefaultPlaceholder_-1854013440"/>
          </w:placeholder>
        </w:sdtPr>
        <w:sdtContent>
          <w:r w:rsidR="0035076E" w:rsidRPr="0035076E">
            <w:rPr>
              <w:rFonts w:ascii="Times New Roman" w:eastAsia="Times New Roman" w:hAnsi="Times New Roman" w:cs="Times New Roman"/>
              <w:color w:val="000000"/>
              <w:sz w:val="24"/>
              <w:szCs w:val="24"/>
            </w:rPr>
            <w:t>(Irawan, 2020)</w:t>
          </w:r>
        </w:sdtContent>
      </w:sdt>
      <w:r w:rsidRPr="0035076E">
        <w:rPr>
          <w:rFonts w:ascii="Times New Roman" w:eastAsia="Times New Roman" w:hAnsi="Times New Roman" w:cs="Times New Roman"/>
          <w:sz w:val="24"/>
          <w:szCs w:val="24"/>
        </w:rPr>
        <w:t xml:space="preserve"> Meskipun sumber sekunder mungkin tidak memiliki kekuatan hukum sekuat sumber primer, keduanya berperan saling melengkapi dalam mengumpulkan data. Pendekatan berbasis literatur mendominasi pengumpulan data, sedangkan analisis kualitatif digunakan untuk merangkum dan menyajikan temuan yang diidentifikasi (Lewansorna et al., 2022)</w:t>
      </w:r>
    </w:p>
    <w:p w14:paraId="00000025" w14:textId="77777777" w:rsidR="000A47E5" w:rsidRPr="0035076E" w:rsidRDefault="000A47E5">
      <w:pPr>
        <w:ind w:firstLine="720"/>
        <w:jc w:val="both"/>
        <w:rPr>
          <w:rFonts w:ascii="Times New Roman" w:eastAsia="Times New Roman" w:hAnsi="Times New Roman" w:cs="Times New Roman"/>
          <w:sz w:val="24"/>
          <w:szCs w:val="24"/>
        </w:rPr>
      </w:pPr>
    </w:p>
    <w:p w14:paraId="00000026" w14:textId="77777777" w:rsidR="000A47E5" w:rsidRPr="0035076E" w:rsidRDefault="00000000">
      <w:pPr>
        <w:numPr>
          <w:ilvl w:val="0"/>
          <w:numId w:val="3"/>
        </w:numPr>
        <w:jc w:val="both"/>
        <w:rPr>
          <w:rFonts w:ascii="Times New Roman" w:eastAsia="Times New Roman" w:hAnsi="Times New Roman" w:cs="Times New Roman"/>
          <w:b/>
          <w:sz w:val="24"/>
          <w:szCs w:val="24"/>
        </w:rPr>
      </w:pPr>
      <w:r w:rsidRPr="0035076E">
        <w:rPr>
          <w:rFonts w:ascii="Times New Roman" w:eastAsia="Times New Roman" w:hAnsi="Times New Roman" w:cs="Times New Roman"/>
          <w:b/>
          <w:sz w:val="24"/>
          <w:szCs w:val="24"/>
        </w:rPr>
        <w:t>Pembahasan</w:t>
      </w:r>
    </w:p>
    <w:p w14:paraId="00000027" w14:textId="77777777" w:rsidR="000A47E5" w:rsidRPr="0035076E" w:rsidRDefault="00000000">
      <w:pPr>
        <w:ind w:firstLine="720"/>
        <w:jc w:val="both"/>
        <w:rPr>
          <w:rFonts w:ascii="Times New Roman" w:eastAsia="Times New Roman" w:hAnsi="Times New Roman" w:cs="Times New Roman"/>
          <w:sz w:val="24"/>
          <w:szCs w:val="24"/>
        </w:rPr>
      </w:pPr>
      <w:r w:rsidRPr="0035076E">
        <w:rPr>
          <w:rFonts w:ascii="Times New Roman" w:eastAsia="Times New Roman" w:hAnsi="Times New Roman" w:cs="Times New Roman"/>
          <w:b/>
          <w:sz w:val="24"/>
          <w:szCs w:val="24"/>
        </w:rPr>
        <w:t>Hasil</w:t>
      </w:r>
    </w:p>
    <w:p w14:paraId="00000028" w14:textId="77777777" w:rsidR="000A47E5" w:rsidRPr="0035076E" w:rsidRDefault="00000000">
      <w:pPr>
        <w:ind w:firstLine="720"/>
        <w:jc w:val="both"/>
        <w:rPr>
          <w:rFonts w:ascii="Times New Roman" w:eastAsia="Times New Roman" w:hAnsi="Times New Roman" w:cs="Times New Roman"/>
          <w:sz w:val="24"/>
          <w:szCs w:val="24"/>
        </w:rPr>
      </w:pPr>
      <w:r w:rsidRPr="0035076E">
        <w:rPr>
          <w:rFonts w:ascii="Times New Roman" w:eastAsia="Times New Roman" w:hAnsi="Times New Roman" w:cs="Times New Roman"/>
          <w:sz w:val="24"/>
          <w:szCs w:val="24"/>
        </w:rPr>
        <w:t>Hukum Arisan Online, sebagaimana dijelaskan dalam Kamus Besar Bahasa Indonesia, merujuk pada aktivitas pengumpulan dana atau barang bernilai yang dilakukan oleh sekelompok individu. Kemudian, dana atau barang tersebut diundi untuk menentukan penerimaannya, dan undian ini dilaksanakan secara berkala dalam pertemuan hingga seluruh anggota menerima bagian mereka. Saat peserta arisan sepakat untuk mengadakan arisan dengan nilai uang tertentu dalam periode waktu tertentu, maka secara hukum, terbentuk perjanjian. Ini termasuk ketika kesepakatan terjadi antara peserta arisan dan pemiliknya, seperti yang Anda jelaskan. Meskipun seringkali kesepakatan ini hanya berdasarkan kesepakatan lisan antara peserta tanpa dokumen tertulis (Sipahutar, 2021)</w:t>
      </w:r>
    </w:p>
    <w:p w14:paraId="00000029" w14:textId="77777777" w:rsidR="000A47E5" w:rsidRPr="0035076E" w:rsidRDefault="00000000">
      <w:pPr>
        <w:ind w:firstLine="720"/>
        <w:jc w:val="both"/>
        <w:rPr>
          <w:rFonts w:ascii="Times New Roman" w:eastAsia="Times New Roman" w:hAnsi="Times New Roman" w:cs="Times New Roman"/>
          <w:sz w:val="24"/>
          <w:szCs w:val="24"/>
        </w:rPr>
      </w:pPr>
      <w:r w:rsidRPr="0035076E">
        <w:rPr>
          <w:rFonts w:ascii="Times New Roman" w:eastAsia="Times New Roman" w:hAnsi="Times New Roman" w:cs="Times New Roman"/>
          <w:sz w:val="24"/>
          <w:szCs w:val="24"/>
        </w:rPr>
        <w:t>Pada zaman sekarang, kejahatan dapat terjadi ketika ada niat dan peluang. Dalam konteks arisan online, pemiliknya dapat memanfaatkan kesempatan ini untuk mendapatkan keuntungan pribadi. Arisan online umumnya hanya menawarkan sejumlah uang sebagai imbalan, dan tidak melibatkan produk fisik. Ini membuat pemiliknya lebih mudah untuk mengambil uang anggota arisan dan kemudian menghilang. Pemilik arisan online seringkali menggunakan berbagai tawaran menggiurkan, seperti bonus besar atau hadiah, untuk menarik calon anggota. Mereka juga menyederhanakan proses bergabung dengan arisan online, hanya meminta nama dan nomor telepon dari calon anggota, dan kemudian meminta mereka untuk mentransfer sejumlah uang ke rekening pemilik. Setelah mendapatkan keuntungan besar dan banyak anggota yang bergabung, pemilik arisan online seringkali menghilang tanpa memberikan penjelasan (Wahyudi et al., 2022)</w:t>
      </w:r>
    </w:p>
    <w:p w14:paraId="0000002A" w14:textId="77777777" w:rsidR="000A47E5" w:rsidRPr="0035076E" w:rsidRDefault="00000000">
      <w:pPr>
        <w:ind w:firstLine="720"/>
        <w:jc w:val="both"/>
        <w:rPr>
          <w:rFonts w:ascii="Times New Roman" w:eastAsia="Times New Roman" w:hAnsi="Times New Roman" w:cs="Times New Roman"/>
          <w:sz w:val="24"/>
          <w:szCs w:val="24"/>
        </w:rPr>
      </w:pPr>
      <w:r w:rsidRPr="0035076E">
        <w:rPr>
          <w:rFonts w:ascii="Times New Roman" w:eastAsia="Times New Roman" w:hAnsi="Times New Roman" w:cs="Times New Roman"/>
          <w:sz w:val="24"/>
          <w:szCs w:val="24"/>
        </w:rPr>
        <w:t xml:space="preserve">Harap diingat bahwa meskipun arisan seringkali hanya berdasarkan kesepakatan lisan tanpa dokumen tertulis, arisan diakui sebagai perjanjian berdasarkan hukum. Ini merujuk pada Pasal 1320 Kitab Undang-Undang Hukum Perdata ("KUHPer") yang tidak mengharuskan perjanjian tertulis. Oleh karena itu, Pasal 1338 KUHPer berlaku terhadap perjanjian dalam arisan berbasis online, yang menyatakan bahwa semua persetujuan yang dibuat sesuai dengan undang-undang berlaku sebagai undang-undang bagi pihak yang membuatnya. Persetujuan tersebut hanya dapat ditarik kembali dengan kesepakatan kedua belah pihak atau berdasarkan </w:t>
      </w:r>
      <w:r w:rsidRPr="0035076E">
        <w:rPr>
          <w:rFonts w:ascii="Times New Roman" w:eastAsia="Times New Roman" w:hAnsi="Times New Roman" w:cs="Times New Roman"/>
          <w:sz w:val="24"/>
          <w:szCs w:val="24"/>
        </w:rPr>
        <w:lastRenderedPageBreak/>
        <w:t>alasan yang ditetapkan oleh undang-undang, dan harus dilaksanakan dengan itikad baik (Wahyudi et al., 2022)</w:t>
      </w:r>
    </w:p>
    <w:p w14:paraId="0000002B" w14:textId="77777777" w:rsidR="000A47E5" w:rsidRPr="0035076E" w:rsidRDefault="000A47E5">
      <w:pPr>
        <w:ind w:left="720" w:firstLine="720"/>
        <w:jc w:val="both"/>
        <w:rPr>
          <w:rFonts w:ascii="Times New Roman" w:eastAsia="Times New Roman" w:hAnsi="Times New Roman" w:cs="Times New Roman"/>
          <w:sz w:val="24"/>
          <w:szCs w:val="24"/>
        </w:rPr>
      </w:pPr>
    </w:p>
    <w:p w14:paraId="0000002C" w14:textId="77777777" w:rsidR="000A47E5" w:rsidRPr="0035076E" w:rsidRDefault="00000000">
      <w:pPr>
        <w:ind w:firstLine="720"/>
        <w:jc w:val="both"/>
        <w:rPr>
          <w:rFonts w:ascii="Times New Roman" w:eastAsia="Times New Roman" w:hAnsi="Times New Roman" w:cs="Times New Roman"/>
          <w:sz w:val="24"/>
          <w:szCs w:val="24"/>
        </w:rPr>
      </w:pPr>
      <w:r w:rsidRPr="0035076E">
        <w:rPr>
          <w:rFonts w:ascii="Times New Roman" w:eastAsia="Times New Roman" w:hAnsi="Times New Roman" w:cs="Times New Roman"/>
          <w:b/>
          <w:sz w:val="24"/>
          <w:szCs w:val="24"/>
        </w:rPr>
        <w:t>Pembahasan</w:t>
      </w:r>
      <w:r w:rsidRPr="0035076E">
        <w:rPr>
          <w:rFonts w:ascii="Times New Roman" w:eastAsia="Times New Roman" w:hAnsi="Times New Roman" w:cs="Times New Roman"/>
          <w:sz w:val="24"/>
          <w:szCs w:val="24"/>
        </w:rPr>
        <w:t xml:space="preserve"> :</w:t>
      </w:r>
    </w:p>
    <w:p w14:paraId="0000002D" w14:textId="77777777" w:rsidR="000A47E5" w:rsidRPr="0035076E" w:rsidRDefault="00000000">
      <w:pPr>
        <w:ind w:firstLine="720"/>
        <w:jc w:val="both"/>
        <w:rPr>
          <w:rFonts w:ascii="Times New Roman" w:eastAsia="Times New Roman" w:hAnsi="Times New Roman" w:cs="Times New Roman"/>
          <w:sz w:val="24"/>
          <w:szCs w:val="24"/>
        </w:rPr>
      </w:pPr>
      <w:r w:rsidRPr="0035076E">
        <w:rPr>
          <w:rFonts w:ascii="Times New Roman" w:eastAsia="Times New Roman" w:hAnsi="Times New Roman" w:cs="Times New Roman"/>
          <w:sz w:val="24"/>
          <w:szCs w:val="24"/>
        </w:rPr>
        <w:t>Ada faktor-faktor tertentu yang dapat membuat perbuatan dalam arisan online dapat diklasifikasikan sebagai tindak pidana, terutama jika perbuatan tersebut memenuhi unsur-unsur tindak pidana penipuan yang telah diatur dalam peraturan perundang-undangan. Artinya, dalam perbuatan arisan online, haruslah terhindar dari unsur-unsur tindak pidana penipuan yang dilarang oleh peraturan perundang-undangan. Hal ini berlaku secara umum sesuai dengan ketentuan Pasal 378 KUHP dan ketentuan khususnya dalam Pasal 45A ayat (1) Undang Undang Nomor 19 Tahun 2016.</w:t>
      </w:r>
    </w:p>
    <w:p w14:paraId="0000002E" w14:textId="77777777" w:rsidR="000A47E5" w:rsidRPr="0035076E" w:rsidRDefault="00000000">
      <w:pPr>
        <w:ind w:firstLine="720"/>
        <w:jc w:val="both"/>
        <w:rPr>
          <w:rFonts w:ascii="Times New Roman" w:eastAsia="Times New Roman" w:hAnsi="Times New Roman" w:cs="Times New Roman"/>
          <w:sz w:val="24"/>
          <w:szCs w:val="24"/>
        </w:rPr>
      </w:pPr>
      <w:r w:rsidRPr="0035076E">
        <w:rPr>
          <w:rFonts w:ascii="Times New Roman" w:eastAsia="Times New Roman" w:hAnsi="Times New Roman" w:cs="Times New Roman"/>
          <w:sz w:val="24"/>
          <w:szCs w:val="24"/>
        </w:rPr>
        <w:t>Dalam konteks tindak pidana, terdapat dua unsur utama yang harus dipenuhi, yaitu unsur subjektif dan objektif. Unsur objektif mencakup perbuatan seseorang, konsekuensi yang dapat diamati dari perbuatan tersebut, atau situasi khusus yang terkait dengan perbuatan tersebut. Di sisi lain, unsur subjektif melibatkan individu yang memiliki kapasitas hukum, serta adanya kesalahan. Kesalahan harus terkait dengan perbuatan tersebut, baik itu berkaitan dengan hasil dari perbuatan atau situasi di mana perbuatan tersebut dilakukan (Gultom, 2022)</w:t>
      </w:r>
    </w:p>
    <w:p w14:paraId="0000002F" w14:textId="77777777" w:rsidR="000A47E5" w:rsidRPr="0035076E" w:rsidRDefault="00000000">
      <w:pPr>
        <w:ind w:firstLine="720"/>
        <w:jc w:val="both"/>
        <w:rPr>
          <w:rFonts w:ascii="Times New Roman" w:eastAsia="Times New Roman" w:hAnsi="Times New Roman" w:cs="Times New Roman"/>
          <w:sz w:val="24"/>
          <w:szCs w:val="24"/>
        </w:rPr>
      </w:pPr>
      <w:r w:rsidRPr="0035076E">
        <w:rPr>
          <w:rFonts w:ascii="Times New Roman" w:eastAsia="Times New Roman" w:hAnsi="Times New Roman" w:cs="Times New Roman"/>
          <w:sz w:val="24"/>
          <w:szCs w:val="24"/>
        </w:rPr>
        <w:t>Dengan pemahaman ini, jika unsur-unsur tindak pidana penipuan yang diatur dalam Pasal 378 KUHP dan Pasal 45A ayat (1) Undang-Undang Nomor 19 Tahun 2016 telah terpenuhi dalam konteks arisan online, maka tindakan tersebut dapat dikategorikan sebagai tindak pidana penipuan yang dapat mendapatkan sanksi pidana bagi pelakunya. Penyidik dari Polrestabes Medan juga menjelaskan bahwa suatu arisan online dapat diklasifikasikan sebagai tindak pidana penipuan jika dalam pelaksanaannya melibatkan tindakan tipu daya, penyebaran informasi palsu, atau pelanggaran hukum lainnya yang mengakibatkan korban menyerahkan harta berharganya, biasanya dalam bentuk uang, tanpa pengetahuan yang semestinya. Hal ini akan mengakibatkan kerugian yang tidak seharusnya dialami oleh korban (Gultom, 2022)</w:t>
      </w:r>
    </w:p>
    <w:p w14:paraId="00000030" w14:textId="77777777" w:rsidR="000A47E5" w:rsidRPr="0035076E" w:rsidRDefault="00000000">
      <w:pPr>
        <w:ind w:firstLine="720"/>
        <w:jc w:val="both"/>
        <w:rPr>
          <w:rFonts w:ascii="Times New Roman" w:eastAsia="Times New Roman" w:hAnsi="Times New Roman" w:cs="Times New Roman"/>
          <w:sz w:val="24"/>
          <w:szCs w:val="24"/>
        </w:rPr>
      </w:pPr>
      <w:r w:rsidRPr="0035076E">
        <w:rPr>
          <w:rFonts w:ascii="Times New Roman" w:eastAsia="Times New Roman" w:hAnsi="Times New Roman" w:cs="Times New Roman"/>
          <w:sz w:val="24"/>
          <w:szCs w:val="24"/>
        </w:rPr>
        <w:t>Dalam rangka menanggulangi tindak pidana penipuan arisan online, kepolisian telah melakukan serangkaian tindakan sebagai berikut:</w:t>
      </w:r>
    </w:p>
    <w:p w14:paraId="00000031" w14:textId="77777777" w:rsidR="000A47E5" w:rsidRPr="0035076E" w:rsidRDefault="00000000">
      <w:pPr>
        <w:numPr>
          <w:ilvl w:val="0"/>
          <w:numId w:val="1"/>
        </w:numPr>
        <w:jc w:val="both"/>
        <w:rPr>
          <w:rFonts w:ascii="Times New Roman" w:eastAsia="Times New Roman" w:hAnsi="Times New Roman" w:cs="Times New Roman"/>
          <w:sz w:val="24"/>
          <w:szCs w:val="24"/>
        </w:rPr>
      </w:pPr>
      <w:r w:rsidRPr="0035076E">
        <w:rPr>
          <w:rFonts w:ascii="Times New Roman" w:eastAsia="Times New Roman" w:hAnsi="Times New Roman" w:cs="Times New Roman"/>
          <w:sz w:val="24"/>
          <w:szCs w:val="24"/>
        </w:rPr>
        <w:t>Upaya Pencegahan (Preventif) dalam Penegakan Hukum</w:t>
      </w:r>
    </w:p>
    <w:p w14:paraId="00000032" w14:textId="77777777" w:rsidR="000A47E5" w:rsidRPr="0035076E" w:rsidRDefault="00000000">
      <w:pPr>
        <w:ind w:left="720" w:firstLine="720"/>
        <w:jc w:val="both"/>
        <w:rPr>
          <w:rFonts w:ascii="Times New Roman" w:eastAsia="Times New Roman" w:hAnsi="Times New Roman" w:cs="Times New Roman"/>
          <w:sz w:val="24"/>
          <w:szCs w:val="24"/>
        </w:rPr>
      </w:pPr>
      <w:r w:rsidRPr="0035076E">
        <w:rPr>
          <w:rFonts w:ascii="Times New Roman" w:eastAsia="Times New Roman" w:hAnsi="Times New Roman" w:cs="Times New Roman"/>
          <w:sz w:val="24"/>
          <w:szCs w:val="24"/>
        </w:rPr>
        <w:t>Upaya preventif diwujudkan melalui langkah-langkah berikut:</w:t>
      </w:r>
    </w:p>
    <w:p w14:paraId="00000033" w14:textId="77777777" w:rsidR="000A47E5" w:rsidRPr="0035076E" w:rsidRDefault="00000000">
      <w:pPr>
        <w:numPr>
          <w:ilvl w:val="0"/>
          <w:numId w:val="2"/>
        </w:numPr>
        <w:jc w:val="both"/>
        <w:rPr>
          <w:rFonts w:ascii="Times New Roman" w:eastAsia="Times New Roman" w:hAnsi="Times New Roman" w:cs="Times New Roman"/>
          <w:sz w:val="24"/>
          <w:szCs w:val="24"/>
        </w:rPr>
      </w:pPr>
      <w:r w:rsidRPr="0035076E">
        <w:rPr>
          <w:rFonts w:ascii="Times New Roman" w:eastAsia="Times New Roman" w:hAnsi="Times New Roman" w:cs="Times New Roman"/>
          <w:sz w:val="24"/>
          <w:szCs w:val="24"/>
        </w:rPr>
        <w:t>Memberikan Himbauan Melalui Media Sosial</w:t>
      </w:r>
    </w:p>
    <w:p w14:paraId="00000035" w14:textId="3BA04137" w:rsidR="000A47E5" w:rsidRPr="0035076E" w:rsidRDefault="00000000" w:rsidP="0035076E">
      <w:pPr>
        <w:ind w:left="1440" w:firstLine="720"/>
        <w:jc w:val="both"/>
        <w:rPr>
          <w:rFonts w:ascii="Times New Roman" w:eastAsia="Times New Roman" w:hAnsi="Times New Roman" w:cs="Times New Roman"/>
          <w:sz w:val="24"/>
          <w:szCs w:val="24"/>
        </w:rPr>
      </w:pPr>
      <w:r w:rsidRPr="0035076E">
        <w:rPr>
          <w:rFonts w:ascii="Times New Roman" w:eastAsia="Times New Roman" w:hAnsi="Times New Roman" w:cs="Times New Roman"/>
          <w:sz w:val="24"/>
          <w:szCs w:val="24"/>
        </w:rPr>
        <w:t>Pihak Kepolisian Polrestabes Surabaya pertama-tama memberikan peringatan dan himbauan melalui media sosial. Mereka menyampaikan pesan agar masyarakat tidak terlibat dalam tindak pidana penipuan arisan online, sambil mengingatkan tentang sanksi yang akan dikenakan, yang kemudian disebarkan melalui berbagai platform media sosial.</w:t>
      </w:r>
    </w:p>
    <w:p w14:paraId="00000036" w14:textId="77777777" w:rsidR="000A47E5" w:rsidRPr="0035076E" w:rsidRDefault="00000000">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35076E">
        <w:rPr>
          <w:rFonts w:ascii="Times New Roman" w:eastAsia="Times New Roman" w:hAnsi="Times New Roman" w:cs="Times New Roman"/>
          <w:sz w:val="24"/>
          <w:szCs w:val="24"/>
        </w:rPr>
        <w:t>Sosialisasi Kepada Masyarakat</w:t>
      </w:r>
    </w:p>
    <w:p w14:paraId="00000037" w14:textId="77777777" w:rsidR="000A47E5" w:rsidRPr="0035076E" w:rsidRDefault="00000000">
      <w:pPr>
        <w:ind w:left="1440" w:firstLine="720"/>
        <w:jc w:val="both"/>
        <w:rPr>
          <w:rFonts w:ascii="Times New Roman" w:eastAsia="Times New Roman" w:hAnsi="Times New Roman" w:cs="Times New Roman"/>
          <w:sz w:val="24"/>
          <w:szCs w:val="24"/>
        </w:rPr>
      </w:pPr>
      <w:r w:rsidRPr="0035076E">
        <w:rPr>
          <w:rFonts w:ascii="Times New Roman" w:eastAsia="Times New Roman" w:hAnsi="Times New Roman" w:cs="Times New Roman"/>
          <w:sz w:val="24"/>
          <w:szCs w:val="24"/>
        </w:rPr>
        <w:t>Langkah selanjutnya adalah melakukan sosialisasi kepada masyarakat. Upaya ini dilakukan melalui penyuluhan dan informasi kepada masyarakat yang mungkin kurang memahami hukum serta modus operandi pelaku penipuan arisan online. Harapannya adalah memberikan pemahaman kepada masyarakat agar lebih waspada, mengingat bahwa siapa pun dapat menjadi korban kejahatan ini. Kepolisian perlu menjelaskan kepada masyarakat agar lebih berhati-hati dalam beraktivitas karena tingkat kejahatan semakin meningkat.</w:t>
      </w:r>
    </w:p>
    <w:p w14:paraId="00000038" w14:textId="77777777" w:rsidR="000A47E5" w:rsidRPr="0035076E" w:rsidRDefault="00000000">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35076E">
        <w:rPr>
          <w:rFonts w:ascii="Times New Roman" w:eastAsia="Times New Roman" w:hAnsi="Times New Roman" w:cs="Times New Roman"/>
          <w:sz w:val="24"/>
          <w:szCs w:val="24"/>
        </w:rPr>
        <w:lastRenderedPageBreak/>
        <w:t>Upaya Penindakan (Represif) dalam Penegakan Hukum</w:t>
      </w:r>
    </w:p>
    <w:p w14:paraId="00000039" w14:textId="77777777" w:rsidR="000A47E5" w:rsidRPr="0035076E" w:rsidRDefault="00000000">
      <w:pPr>
        <w:ind w:left="720" w:firstLine="720"/>
        <w:jc w:val="both"/>
        <w:rPr>
          <w:rFonts w:ascii="Times New Roman" w:eastAsia="Times New Roman" w:hAnsi="Times New Roman" w:cs="Times New Roman"/>
          <w:sz w:val="24"/>
          <w:szCs w:val="24"/>
        </w:rPr>
      </w:pPr>
      <w:r w:rsidRPr="0035076E">
        <w:rPr>
          <w:rFonts w:ascii="Times New Roman" w:eastAsia="Times New Roman" w:hAnsi="Times New Roman" w:cs="Times New Roman"/>
          <w:sz w:val="24"/>
          <w:szCs w:val="24"/>
        </w:rPr>
        <w:t>Upaya represif merupakan tindakan penegakan hukum yang dilakukan setelah terjadinya tindak pidana. Tujuannya adalah menindak pelaku kejahatan sesuai dengan perbuatannya dan memberikan kesempatan bagi mereka untuk memperbaiki perilaku mereka. Hal ini dilakukan agar mereka menyadari bahwa tindakan mereka melanggar hukum dan merugikan masyarakat, serta mencegah mereka mengulanginya dan memberikan contoh bagi orang lain.</w:t>
      </w:r>
    </w:p>
    <w:p w14:paraId="0000003A" w14:textId="13505938" w:rsidR="000A47E5" w:rsidRPr="0035076E" w:rsidRDefault="00000000">
      <w:pPr>
        <w:ind w:left="720" w:firstLine="720"/>
        <w:jc w:val="both"/>
        <w:rPr>
          <w:rFonts w:ascii="Times New Roman" w:eastAsia="Times New Roman" w:hAnsi="Times New Roman" w:cs="Times New Roman"/>
          <w:sz w:val="24"/>
          <w:szCs w:val="24"/>
        </w:rPr>
      </w:pPr>
      <w:r w:rsidRPr="0035076E">
        <w:rPr>
          <w:rFonts w:ascii="Times New Roman" w:eastAsia="Times New Roman" w:hAnsi="Times New Roman" w:cs="Times New Roman"/>
          <w:sz w:val="24"/>
          <w:szCs w:val="24"/>
        </w:rPr>
        <w:t xml:space="preserve">Pertanggungjawaban pidana atas tindak pidana penipuan arisan online diatur dalam Pasal 28 ayat (1) Jo. Pasal 45A ayat (1) Undang-Undang Nomor 19 Tahun 2016 tentang Perubahan Undang-Undang Nomor 11 Tahun 2008 tentang Informasi dan Transaksi Elektronik, serta Pasal 378 KUHP yang mengatur tindak pidana penipuan. Proses penegakan hukum pidana terhadap pelaku penipuan arisan online melalui tindakan represif melibatkan beberapa tahap, termasuk penyelidikan, penyidikan, pemeriksaan, hingga penyelesaian kasus dan penyerahan perkara kepada Jaksa Penuntut Umum </w:t>
      </w:r>
      <w:sdt>
        <w:sdtPr>
          <w:rPr>
            <w:rFonts w:ascii="Times New Roman" w:eastAsia="Times New Roman" w:hAnsi="Times New Roman" w:cs="Times New Roman"/>
            <w:sz w:val="24"/>
            <w:szCs w:val="24"/>
          </w:rPr>
          <w:tag w:val="MENDELEY_CITATION_v3_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"/>
          <w:id w:val="1108699149"/>
          <w:placeholder>
            <w:docPart w:val="DefaultPlaceholder_-1854013440"/>
          </w:placeholder>
        </w:sdtPr>
        <w:sdtContent>
          <w:r w:rsidR="0035076E" w:rsidRPr="0035076E">
            <w:rPr>
              <w:rFonts w:ascii="Times New Roman" w:eastAsia="Times New Roman" w:hAnsi="Times New Roman" w:cs="Times New Roman"/>
            </w:rPr>
            <w:t>(E. Wahyudi &amp; Bethari, 2021)</w:t>
          </w:r>
        </w:sdtContent>
      </w:sdt>
    </w:p>
    <w:p w14:paraId="0000003B" w14:textId="77777777" w:rsidR="000A47E5" w:rsidRPr="0035076E" w:rsidRDefault="000A47E5">
      <w:pPr>
        <w:ind w:left="720" w:firstLine="720"/>
        <w:jc w:val="both"/>
        <w:rPr>
          <w:rFonts w:ascii="Times New Roman" w:eastAsia="Times New Roman" w:hAnsi="Times New Roman" w:cs="Times New Roman"/>
          <w:sz w:val="24"/>
          <w:szCs w:val="24"/>
        </w:rPr>
      </w:pPr>
    </w:p>
    <w:p w14:paraId="0000003C" w14:textId="77777777" w:rsidR="000A47E5" w:rsidRPr="0035076E" w:rsidRDefault="00000000">
      <w:pPr>
        <w:numPr>
          <w:ilvl w:val="0"/>
          <w:numId w:val="3"/>
        </w:numPr>
        <w:jc w:val="both"/>
        <w:rPr>
          <w:rFonts w:ascii="Times New Roman" w:eastAsia="Times New Roman" w:hAnsi="Times New Roman" w:cs="Times New Roman"/>
          <w:b/>
          <w:sz w:val="24"/>
          <w:szCs w:val="24"/>
        </w:rPr>
      </w:pPr>
      <w:r w:rsidRPr="0035076E">
        <w:rPr>
          <w:rFonts w:ascii="Times New Roman" w:eastAsia="Times New Roman" w:hAnsi="Times New Roman" w:cs="Times New Roman"/>
          <w:b/>
          <w:sz w:val="24"/>
          <w:szCs w:val="24"/>
        </w:rPr>
        <w:t>Penutup</w:t>
      </w:r>
    </w:p>
    <w:p w14:paraId="0000003D" w14:textId="77777777" w:rsidR="000A47E5" w:rsidRPr="0035076E" w:rsidRDefault="00000000">
      <w:pPr>
        <w:ind w:left="720"/>
        <w:jc w:val="both"/>
        <w:rPr>
          <w:rFonts w:ascii="Times New Roman" w:eastAsia="Times New Roman" w:hAnsi="Times New Roman" w:cs="Times New Roman"/>
          <w:color w:val="222222"/>
          <w:sz w:val="24"/>
          <w:szCs w:val="24"/>
          <w:highlight w:val="white"/>
        </w:rPr>
      </w:pPr>
      <w:r w:rsidRPr="0035076E">
        <w:rPr>
          <w:rFonts w:ascii="Times New Roman" w:eastAsia="Times New Roman" w:hAnsi="Times New Roman" w:cs="Times New Roman"/>
          <w:b/>
          <w:sz w:val="24"/>
          <w:szCs w:val="24"/>
        </w:rPr>
        <w:t xml:space="preserve">Kesimpulan : </w:t>
      </w:r>
    </w:p>
    <w:p w14:paraId="0000003E" w14:textId="77777777" w:rsidR="000A47E5" w:rsidRPr="0035076E" w:rsidRDefault="00000000">
      <w:pPr>
        <w:ind w:firstLine="720"/>
        <w:jc w:val="both"/>
        <w:rPr>
          <w:rFonts w:ascii="Times New Roman" w:eastAsia="Times New Roman" w:hAnsi="Times New Roman" w:cs="Times New Roman"/>
          <w:color w:val="222222"/>
          <w:sz w:val="24"/>
          <w:szCs w:val="24"/>
          <w:highlight w:val="white"/>
        </w:rPr>
      </w:pPr>
      <w:r w:rsidRPr="0035076E">
        <w:rPr>
          <w:rFonts w:ascii="Times New Roman" w:eastAsia="Times New Roman" w:hAnsi="Times New Roman" w:cs="Times New Roman"/>
          <w:color w:val="222222"/>
          <w:sz w:val="24"/>
          <w:szCs w:val="24"/>
          <w:highlight w:val="white"/>
        </w:rPr>
        <w:t>Dalam jurnal ini, kita telah menjelajahi fenomena arisan online dan dampaknya dalam konteks hukum, terutama terkait tindak pidana penipuan. Arisan online telah menjadi bagian integral dari perubahan ekonomi yang didorong oleh teknologi internet. Namun, seiring dengan manfaatnya, arisan online juga membawa risiko yang signifikan terkait penipuan dan pelanggaran etika.</w:t>
      </w:r>
    </w:p>
    <w:p w14:paraId="0000003F" w14:textId="77777777" w:rsidR="000A47E5" w:rsidRPr="0035076E" w:rsidRDefault="00000000">
      <w:pPr>
        <w:ind w:firstLine="720"/>
        <w:jc w:val="both"/>
        <w:rPr>
          <w:rFonts w:ascii="Times New Roman" w:eastAsia="Times New Roman" w:hAnsi="Times New Roman" w:cs="Times New Roman"/>
          <w:color w:val="222222"/>
          <w:sz w:val="24"/>
          <w:szCs w:val="24"/>
          <w:highlight w:val="white"/>
        </w:rPr>
      </w:pPr>
      <w:r w:rsidRPr="0035076E">
        <w:rPr>
          <w:rFonts w:ascii="Times New Roman" w:eastAsia="Times New Roman" w:hAnsi="Times New Roman" w:cs="Times New Roman"/>
          <w:color w:val="222222"/>
          <w:sz w:val="24"/>
          <w:szCs w:val="24"/>
          <w:highlight w:val="white"/>
        </w:rPr>
        <w:t>Analisis hukum dalam jurnal ini mengindikasikan bahwa tindakan penipuan dalam konteks arisan online dapat dikenakan sanksi pidana sesuai dengan peraturan perundang-undangan yang berlaku, seperti Pasal 378 KUHP dan Pasal 45A ayat (1) Undang-Undang Nomor 19 Tahun 2016 tentang Perubahan Undang-Undang Nomor 11 Tahun 2008 tentang Informasi dan Transaksi Elektronik. Selain itu, arisan online diakui sebagai bentuk perjanjian berdasarkan hukum, bahkan jika kesepakatan tersebut hanya dilakukan secara lisan.</w:t>
      </w:r>
    </w:p>
    <w:p w14:paraId="00000040" w14:textId="77777777" w:rsidR="000A47E5" w:rsidRPr="0035076E" w:rsidRDefault="00000000">
      <w:pPr>
        <w:ind w:firstLine="720"/>
        <w:jc w:val="both"/>
        <w:rPr>
          <w:rFonts w:ascii="Times New Roman" w:eastAsia="Times New Roman" w:hAnsi="Times New Roman" w:cs="Times New Roman"/>
          <w:color w:val="222222"/>
          <w:sz w:val="24"/>
          <w:szCs w:val="24"/>
          <w:highlight w:val="white"/>
        </w:rPr>
      </w:pPr>
      <w:r w:rsidRPr="0035076E">
        <w:rPr>
          <w:rFonts w:ascii="Times New Roman" w:eastAsia="Times New Roman" w:hAnsi="Times New Roman" w:cs="Times New Roman"/>
          <w:color w:val="222222"/>
          <w:sz w:val="24"/>
          <w:szCs w:val="24"/>
          <w:highlight w:val="white"/>
        </w:rPr>
        <w:t>Penelitian ini juga menggambarkan bagaimana arisan online dapat menjadi korban penipuan, dengan pemilik arisan online memanfaatkan berbagai taktik penipuan, termasuk penggunaan akun palsu dan janji imbalan besar. Para penegak hukum perlu melakukan upaya preventif dan represif untuk mengatasi tindakan penipuan dalam arisan online, termasuk sosialisasi kepada masyarakat dan penindakan terhadap pelaku kejahatan.</w:t>
      </w:r>
    </w:p>
    <w:p w14:paraId="00000041" w14:textId="77777777" w:rsidR="000A47E5" w:rsidRPr="0035076E" w:rsidRDefault="000A47E5">
      <w:pPr>
        <w:ind w:firstLine="720"/>
        <w:jc w:val="both"/>
        <w:rPr>
          <w:rFonts w:ascii="Times New Roman" w:eastAsia="Times New Roman" w:hAnsi="Times New Roman" w:cs="Times New Roman"/>
          <w:color w:val="222222"/>
          <w:sz w:val="24"/>
          <w:szCs w:val="24"/>
          <w:highlight w:val="white"/>
        </w:rPr>
      </w:pPr>
    </w:p>
    <w:p w14:paraId="00000042" w14:textId="77777777" w:rsidR="000A47E5" w:rsidRPr="0035076E" w:rsidRDefault="00000000">
      <w:pPr>
        <w:ind w:firstLine="720"/>
        <w:jc w:val="both"/>
        <w:rPr>
          <w:rFonts w:ascii="Times New Roman" w:eastAsia="Times New Roman" w:hAnsi="Times New Roman" w:cs="Times New Roman"/>
          <w:color w:val="222222"/>
          <w:sz w:val="24"/>
          <w:szCs w:val="24"/>
          <w:highlight w:val="white"/>
        </w:rPr>
      </w:pPr>
      <w:r w:rsidRPr="0035076E">
        <w:rPr>
          <w:rFonts w:ascii="Times New Roman" w:eastAsia="Times New Roman" w:hAnsi="Times New Roman" w:cs="Times New Roman"/>
          <w:b/>
          <w:color w:val="222222"/>
          <w:sz w:val="24"/>
          <w:szCs w:val="24"/>
          <w:highlight w:val="white"/>
        </w:rPr>
        <w:t>Saran:</w:t>
      </w:r>
    </w:p>
    <w:p w14:paraId="00000043" w14:textId="77777777" w:rsidR="000A47E5" w:rsidRPr="0035076E" w:rsidRDefault="00000000">
      <w:pPr>
        <w:ind w:firstLine="720"/>
        <w:jc w:val="both"/>
        <w:rPr>
          <w:rFonts w:ascii="Times New Roman" w:eastAsia="Times New Roman" w:hAnsi="Times New Roman" w:cs="Times New Roman"/>
          <w:color w:val="222222"/>
          <w:sz w:val="24"/>
          <w:szCs w:val="24"/>
          <w:highlight w:val="white"/>
        </w:rPr>
      </w:pPr>
      <w:r w:rsidRPr="0035076E">
        <w:rPr>
          <w:rFonts w:ascii="Times New Roman" w:eastAsia="Times New Roman" w:hAnsi="Times New Roman" w:cs="Times New Roman"/>
          <w:color w:val="222222"/>
          <w:sz w:val="24"/>
          <w:szCs w:val="24"/>
          <w:highlight w:val="white"/>
        </w:rPr>
        <w:t>Berdasarkan analisis dalam jurnal ini, beberapa saran dapat diajukan:</w:t>
      </w:r>
    </w:p>
    <w:p w14:paraId="00000044" w14:textId="77777777" w:rsidR="000A47E5" w:rsidRPr="0035076E" w:rsidRDefault="00000000">
      <w:pPr>
        <w:ind w:left="720" w:firstLine="720"/>
        <w:jc w:val="both"/>
        <w:rPr>
          <w:rFonts w:ascii="Times New Roman" w:eastAsia="Times New Roman" w:hAnsi="Times New Roman" w:cs="Times New Roman"/>
          <w:color w:val="222222"/>
          <w:sz w:val="24"/>
          <w:szCs w:val="24"/>
          <w:highlight w:val="white"/>
        </w:rPr>
      </w:pPr>
      <w:r w:rsidRPr="0035076E">
        <w:rPr>
          <w:rFonts w:ascii="Times New Roman" w:eastAsia="Times New Roman" w:hAnsi="Times New Roman" w:cs="Times New Roman"/>
          <w:color w:val="222222"/>
          <w:sz w:val="24"/>
          <w:szCs w:val="24"/>
          <w:highlight w:val="white"/>
        </w:rPr>
        <w:t>Sosialisasi yang Lebih Intensif: Pihak berwenang dan lembaga terkait perlu meningkatkan sosialisasi kepada masyarakat tentang risiko penipuan dalam arisan online. Kampanye sosial dan informasi yang mudah diakses dapat membantu masyarakat menjadi lebih waspada terhadap potensi penipuan.</w:t>
      </w:r>
    </w:p>
    <w:p w14:paraId="00000045" w14:textId="77777777" w:rsidR="000A47E5" w:rsidRPr="0035076E" w:rsidRDefault="00000000">
      <w:pPr>
        <w:ind w:left="720" w:firstLine="720"/>
        <w:jc w:val="both"/>
        <w:rPr>
          <w:rFonts w:ascii="Times New Roman" w:eastAsia="Times New Roman" w:hAnsi="Times New Roman" w:cs="Times New Roman"/>
          <w:color w:val="222222"/>
          <w:sz w:val="24"/>
          <w:szCs w:val="24"/>
          <w:highlight w:val="white"/>
        </w:rPr>
      </w:pPr>
      <w:r w:rsidRPr="0035076E">
        <w:rPr>
          <w:rFonts w:ascii="Times New Roman" w:eastAsia="Times New Roman" w:hAnsi="Times New Roman" w:cs="Times New Roman"/>
          <w:color w:val="222222"/>
          <w:sz w:val="24"/>
          <w:szCs w:val="24"/>
          <w:highlight w:val="white"/>
        </w:rPr>
        <w:t xml:space="preserve">Peningkatan Penegakan Hukum: Kepolisian perlu meningkatkan upaya penegakan hukum terhadap pelaku penipuan dalam arisan online. Hal ini mencakup </w:t>
      </w:r>
      <w:r w:rsidRPr="0035076E">
        <w:rPr>
          <w:rFonts w:ascii="Times New Roman" w:eastAsia="Times New Roman" w:hAnsi="Times New Roman" w:cs="Times New Roman"/>
          <w:color w:val="222222"/>
          <w:sz w:val="24"/>
          <w:szCs w:val="24"/>
          <w:highlight w:val="white"/>
        </w:rPr>
        <w:lastRenderedPageBreak/>
        <w:t>penyelidikan yang lebih mendalam, pemeriksaan yang hati-hati, dan penuntutan hukum yang tegas terhadap mereka yang terlibat dalam tindakan penipuan.</w:t>
      </w:r>
    </w:p>
    <w:p w14:paraId="00000046" w14:textId="77777777" w:rsidR="000A47E5" w:rsidRPr="0035076E" w:rsidRDefault="00000000">
      <w:pPr>
        <w:ind w:left="720" w:firstLine="720"/>
        <w:jc w:val="both"/>
        <w:rPr>
          <w:rFonts w:ascii="Times New Roman" w:eastAsia="Times New Roman" w:hAnsi="Times New Roman" w:cs="Times New Roman"/>
          <w:color w:val="222222"/>
          <w:sz w:val="24"/>
          <w:szCs w:val="24"/>
          <w:highlight w:val="white"/>
        </w:rPr>
      </w:pPr>
      <w:r w:rsidRPr="0035076E">
        <w:rPr>
          <w:rFonts w:ascii="Times New Roman" w:eastAsia="Times New Roman" w:hAnsi="Times New Roman" w:cs="Times New Roman"/>
          <w:color w:val="222222"/>
          <w:sz w:val="24"/>
          <w:szCs w:val="24"/>
          <w:highlight w:val="white"/>
        </w:rPr>
        <w:t>Keterlibatan Platform Online: Platform online yang digunakan untuk arisan online juga harus bertanggung jawab dalam memonitor dan mencegah tindakan penipuan. Mereka dapat mengimplementasikan kebijakan dan mekanisme yang meminimalkan risiko penipuan di platform mereka.</w:t>
      </w:r>
    </w:p>
    <w:p w14:paraId="00000047" w14:textId="77777777" w:rsidR="000A47E5" w:rsidRPr="0035076E" w:rsidRDefault="00000000">
      <w:pPr>
        <w:ind w:left="720" w:firstLine="720"/>
        <w:jc w:val="both"/>
        <w:rPr>
          <w:rFonts w:ascii="Times New Roman" w:eastAsia="Times New Roman" w:hAnsi="Times New Roman" w:cs="Times New Roman"/>
          <w:color w:val="222222"/>
          <w:sz w:val="24"/>
          <w:szCs w:val="24"/>
          <w:highlight w:val="white"/>
        </w:rPr>
      </w:pPr>
      <w:r w:rsidRPr="0035076E">
        <w:rPr>
          <w:rFonts w:ascii="Times New Roman" w:eastAsia="Times New Roman" w:hAnsi="Times New Roman" w:cs="Times New Roman"/>
          <w:color w:val="222222"/>
          <w:sz w:val="24"/>
          <w:szCs w:val="24"/>
          <w:highlight w:val="white"/>
        </w:rPr>
        <w:t>Literasi Digital: Masyarakat perlu ditingkatkan literasi digitalnya, terutama terkait dengan transaksi online dan penggunaan media sosial. Pendidikan tentang cara mengenali tanda-tanda penipuan dan mengambil langkah-langkah perlindungan dapat membantu mengurangi risiko.</w:t>
      </w:r>
    </w:p>
    <w:p w14:paraId="00000048" w14:textId="77777777" w:rsidR="000A47E5" w:rsidRPr="0035076E" w:rsidRDefault="00000000">
      <w:pPr>
        <w:ind w:left="720" w:firstLine="720"/>
        <w:jc w:val="both"/>
        <w:rPr>
          <w:rFonts w:ascii="Times New Roman" w:eastAsia="Times New Roman" w:hAnsi="Times New Roman" w:cs="Times New Roman"/>
          <w:color w:val="222222"/>
          <w:sz w:val="24"/>
          <w:szCs w:val="24"/>
          <w:highlight w:val="white"/>
        </w:rPr>
      </w:pPr>
      <w:r w:rsidRPr="0035076E">
        <w:rPr>
          <w:rFonts w:ascii="Times New Roman" w:eastAsia="Times New Roman" w:hAnsi="Times New Roman" w:cs="Times New Roman"/>
          <w:color w:val="222222"/>
          <w:sz w:val="24"/>
          <w:szCs w:val="24"/>
          <w:highlight w:val="white"/>
        </w:rPr>
        <w:t>Pengaturan Lebih Ketat: Peraturan dan undang-undang yang mengatur arisan online perlu diperbarui dan diperketat untuk mengakomodasi perkembangan teknologi dan mencegah penipuan lebih lanjut dalam konteks ini.</w:t>
      </w:r>
    </w:p>
    <w:p w14:paraId="00000049" w14:textId="77777777" w:rsidR="000A47E5" w:rsidRPr="0035076E" w:rsidRDefault="00000000">
      <w:pPr>
        <w:ind w:firstLine="720"/>
        <w:jc w:val="both"/>
        <w:rPr>
          <w:rFonts w:ascii="Times New Roman" w:eastAsia="Times New Roman" w:hAnsi="Times New Roman" w:cs="Times New Roman"/>
          <w:color w:val="222222"/>
          <w:sz w:val="24"/>
          <w:szCs w:val="24"/>
          <w:highlight w:val="white"/>
        </w:rPr>
      </w:pPr>
      <w:r w:rsidRPr="0035076E">
        <w:rPr>
          <w:rFonts w:ascii="Times New Roman" w:eastAsia="Times New Roman" w:hAnsi="Times New Roman" w:cs="Times New Roman"/>
          <w:color w:val="222222"/>
          <w:sz w:val="24"/>
          <w:szCs w:val="24"/>
          <w:highlight w:val="white"/>
        </w:rPr>
        <w:t>Dengan penerapan saran-saran ini, diharapkan dapat mengurangi insiden penipuan dalam arisan online dan melindungi masyarakat dari kerugian finansial yang disebabkan oleh tindakan penipuan semacam itu.</w:t>
      </w:r>
    </w:p>
    <w:p w14:paraId="0000004A" w14:textId="77777777" w:rsidR="000A47E5" w:rsidRPr="0035076E" w:rsidRDefault="000A47E5">
      <w:pPr>
        <w:ind w:firstLine="720"/>
        <w:jc w:val="both"/>
        <w:rPr>
          <w:rFonts w:ascii="Times New Roman" w:eastAsia="Times New Roman" w:hAnsi="Times New Roman" w:cs="Times New Roman"/>
          <w:color w:val="222222"/>
          <w:sz w:val="24"/>
          <w:szCs w:val="24"/>
          <w:highlight w:val="white"/>
        </w:rPr>
      </w:pPr>
    </w:p>
    <w:p w14:paraId="0000004B" w14:textId="77777777" w:rsidR="000A47E5" w:rsidRPr="0035076E" w:rsidRDefault="000A47E5">
      <w:pPr>
        <w:ind w:firstLine="720"/>
        <w:jc w:val="both"/>
        <w:rPr>
          <w:rFonts w:ascii="Times New Roman" w:eastAsia="Times New Roman" w:hAnsi="Times New Roman" w:cs="Times New Roman"/>
          <w:color w:val="222222"/>
          <w:sz w:val="24"/>
          <w:szCs w:val="24"/>
          <w:highlight w:val="white"/>
        </w:rPr>
      </w:pPr>
    </w:p>
    <w:p w14:paraId="0000004C" w14:textId="77777777" w:rsidR="000A47E5" w:rsidRPr="0035076E" w:rsidRDefault="000A47E5">
      <w:pPr>
        <w:ind w:firstLine="720"/>
        <w:jc w:val="both"/>
        <w:rPr>
          <w:rFonts w:ascii="Times New Roman" w:eastAsia="Times New Roman" w:hAnsi="Times New Roman" w:cs="Times New Roman"/>
          <w:color w:val="222222"/>
          <w:sz w:val="24"/>
          <w:szCs w:val="24"/>
          <w:highlight w:val="white"/>
        </w:rPr>
      </w:pPr>
    </w:p>
    <w:p w14:paraId="0000004D" w14:textId="77777777" w:rsidR="000A47E5" w:rsidRPr="0035076E" w:rsidRDefault="00000000">
      <w:pPr>
        <w:spacing w:before="20"/>
        <w:jc w:val="both"/>
        <w:rPr>
          <w:rFonts w:ascii="Times New Roman" w:eastAsia="Times New Roman" w:hAnsi="Times New Roman" w:cs="Times New Roman"/>
          <w:b/>
          <w:sz w:val="24"/>
          <w:szCs w:val="24"/>
        </w:rPr>
      </w:pPr>
      <w:r w:rsidRPr="0035076E">
        <w:rPr>
          <w:rFonts w:ascii="Times New Roman" w:hAnsi="Times New Roman" w:cs="Times New Roman"/>
        </w:rPr>
        <w:br w:type="page"/>
      </w:r>
    </w:p>
    <w:p w14:paraId="0000004E" w14:textId="77777777" w:rsidR="000A47E5" w:rsidRPr="0035076E" w:rsidRDefault="00000000">
      <w:pPr>
        <w:spacing w:before="20"/>
        <w:jc w:val="both"/>
        <w:rPr>
          <w:rFonts w:ascii="Times New Roman" w:eastAsia="Times New Roman" w:hAnsi="Times New Roman" w:cs="Times New Roman"/>
          <w:color w:val="222222"/>
          <w:sz w:val="24"/>
          <w:szCs w:val="24"/>
          <w:highlight w:val="white"/>
        </w:rPr>
      </w:pPr>
      <w:r w:rsidRPr="0035076E">
        <w:rPr>
          <w:rFonts w:ascii="Times New Roman" w:eastAsia="Times New Roman" w:hAnsi="Times New Roman" w:cs="Times New Roman"/>
          <w:b/>
          <w:sz w:val="24"/>
          <w:szCs w:val="24"/>
        </w:rPr>
        <w:lastRenderedPageBreak/>
        <w:t>Daftar Pustaka</w:t>
      </w:r>
    </w:p>
    <w:sdt>
      <w:sdtPr>
        <w:rPr>
          <w:rFonts w:ascii="Times New Roman" w:eastAsia="Times New Roman" w:hAnsi="Times New Roman" w:cs="Times New Roman"/>
          <w:color w:val="222222"/>
          <w:sz w:val="24"/>
          <w:szCs w:val="24"/>
          <w:highlight w:val="white"/>
        </w:rPr>
        <w:tag w:val="MENDELEY_BIBLIOGRAPHY"/>
        <w:id w:val="-1172173413"/>
        <w:placeholder>
          <w:docPart w:val="DefaultPlaceholder_-1854013440"/>
        </w:placeholder>
      </w:sdtPr>
      <w:sdtEndPr>
        <w:rPr>
          <w:color w:val="1155CC"/>
          <w:u w:val="single"/>
        </w:rPr>
      </w:sdtEndPr>
      <w:sdtContent>
        <w:p w14:paraId="413120B5" w14:textId="77777777" w:rsidR="0035076E" w:rsidRPr="0035076E" w:rsidRDefault="0035076E">
          <w:pPr>
            <w:autoSpaceDE w:val="0"/>
            <w:autoSpaceDN w:val="0"/>
            <w:ind w:hanging="480"/>
            <w:divId w:val="601456342"/>
            <w:rPr>
              <w:rFonts w:ascii="Times New Roman" w:eastAsia="Times New Roman" w:hAnsi="Times New Roman" w:cs="Times New Roman"/>
              <w:sz w:val="24"/>
              <w:szCs w:val="24"/>
            </w:rPr>
          </w:pPr>
          <w:r w:rsidRPr="0035076E">
            <w:rPr>
              <w:rFonts w:ascii="Times New Roman" w:eastAsia="Times New Roman" w:hAnsi="Times New Roman" w:cs="Times New Roman"/>
            </w:rPr>
            <w:t xml:space="preserve">Gultom, K. F. (2022). Analisis Kriminologi Terhadap Pelaku Tindak Pidana Penipuan Dengan Modus Arisan Online (Studi Pada Kepolisian Resor Kota Besar Medan). </w:t>
          </w:r>
          <w:r w:rsidRPr="0035076E">
            <w:rPr>
              <w:rFonts w:ascii="Times New Roman" w:eastAsia="Times New Roman" w:hAnsi="Times New Roman" w:cs="Times New Roman"/>
              <w:i/>
              <w:iCs/>
            </w:rPr>
            <w:t>JIMHUM</w:t>
          </w:r>
          <w:r w:rsidRPr="0035076E">
            <w:rPr>
              <w:rFonts w:ascii="Times New Roman" w:eastAsia="Times New Roman" w:hAnsi="Times New Roman" w:cs="Times New Roman"/>
            </w:rPr>
            <w:t xml:space="preserve">, </w:t>
          </w:r>
          <w:r w:rsidRPr="0035076E">
            <w:rPr>
              <w:rFonts w:ascii="Times New Roman" w:eastAsia="Times New Roman" w:hAnsi="Times New Roman" w:cs="Times New Roman"/>
              <w:i/>
              <w:iCs/>
            </w:rPr>
            <w:t>2</w:t>
          </w:r>
          <w:r w:rsidRPr="0035076E">
            <w:rPr>
              <w:rFonts w:ascii="Times New Roman" w:eastAsia="Times New Roman" w:hAnsi="Times New Roman" w:cs="Times New Roman"/>
            </w:rPr>
            <w:t>, 1–17.</w:t>
          </w:r>
        </w:p>
        <w:p w14:paraId="14C08A29" w14:textId="77777777" w:rsidR="0035076E" w:rsidRPr="0035076E" w:rsidRDefault="0035076E">
          <w:pPr>
            <w:autoSpaceDE w:val="0"/>
            <w:autoSpaceDN w:val="0"/>
            <w:ind w:hanging="480"/>
            <w:divId w:val="177082540"/>
            <w:rPr>
              <w:rFonts w:ascii="Times New Roman" w:eastAsia="Times New Roman" w:hAnsi="Times New Roman" w:cs="Times New Roman"/>
            </w:rPr>
          </w:pPr>
          <w:r w:rsidRPr="0035076E">
            <w:rPr>
              <w:rFonts w:ascii="Times New Roman" w:eastAsia="Times New Roman" w:hAnsi="Times New Roman" w:cs="Times New Roman"/>
            </w:rPr>
            <w:t xml:space="preserve">Irawan, V. (2020). ANALISIS YURIDIS TERHADAP PELANGGARAN HAK CIPTA PERMAINAN VIDEO (VIDEO GAMES) BERUPA PEMBAJAKAN SECARA ONLINE. In </w:t>
          </w:r>
          <w:r w:rsidRPr="0035076E">
            <w:rPr>
              <w:rFonts w:ascii="Times New Roman" w:eastAsia="Times New Roman" w:hAnsi="Times New Roman" w:cs="Times New Roman"/>
              <w:i/>
              <w:iCs/>
            </w:rPr>
            <w:t>Journal of Intellectual Property</w:t>
          </w:r>
          <w:r w:rsidRPr="0035076E">
            <w:rPr>
              <w:rFonts w:ascii="Times New Roman" w:eastAsia="Times New Roman" w:hAnsi="Times New Roman" w:cs="Times New Roman"/>
            </w:rPr>
            <w:t xml:space="preserve"> (Vol. 3, Issue 2). www.journal.uii.ac.id/JIPRO</w:t>
          </w:r>
        </w:p>
        <w:p w14:paraId="39810888" w14:textId="77777777" w:rsidR="0035076E" w:rsidRPr="0035076E" w:rsidRDefault="0035076E">
          <w:pPr>
            <w:autoSpaceDE w:val="0"/>
            <w:autoSpaceDN w:val="0"/>
            <w:ind w:hanging="480"/>
            <w:divId w:val="648896969"/>
            <w:rPr>
              <w:rFonts w:ascii="Times New Roman" w:eastAsia="Times New Roman" w:hAnsi="Times New Roman" w:cs="Times New Roman"/>
            </w:rPr>
          </w:pPr>
          <w:r w:rsidRPr="0035076E">
            <w:rPr>
              <w:rFonts w:ascii="Times New Roman" w:eastAsia="Times New Roman" w:hAnsi="Times New Roman" w:cs="Times New Roman"/>
            </w:rPr>
            <w:t xml:space="preserve">Lewansorna, D., Rina, E., Toule, M., &amp; Sopacua, M. (2022). </w:t>
          </w:r>
          <w:r w:rsidRPr="0035076E">
            <w:rPr>
              <w:rFonts w:ascii="Times New Roman" w:eastAsia="Times New Roman" w:hAnsi="Times New Roman" w:cs="Times New Roman"/>
              <w:i/>
              <w:iCs/>
            </w:rPr>
            <w:t>Pertanggungjawaban Pidana Aparat Kepolisian Yang Melakukan Kekerasan Terhadap Demonstran</w:t>
          </w:r>
          <w:r w:rsidRPr="0035076E">
            <w:rPr>
              <w:rFonts w:ascii="Times New Roman" w:eastAsia="Times New Roman" w:hAnsi="Times New Roman" w:cs="Times New Roman"/>
            </w:rPr>
            <w:t xml:space="preserve"> (Vol. 2, Issue 1).</w:t>
          </w:r>
        </w:p>
        <w:p w14:paraId="263127BE" w14:textId="77777777" w:rsidR="0035076E" w:rsidRPr="0035076E" w:rsidRDefault="0035076E">
          <w:pPr>
            <w:autoSpaceDE w:val="0"/>
            <w:autoSpaceDN w:val="0"/>
            <w:ind w:hanging="480"/>
            <w:divId w:val="1978335712"/>
            <w:rPr>
              <w:rFonts w:ascii="Times New Roman" w:eastAsia="Times New Roman" w:hAnsi="Times New Roman" w:cs="Times New Roman"/>
            </w:rPr>
          </w:pPr>
          <w:r w:rsidRPr="0035076E">
            <w:rPr>
              <w:rFonts w:ascii="Times New Roman" w:eastAsia="Times New Roman" w:hAnsi="Times New Roman" w:cs="Times New Roman"/>
            </w:rPr>
            <w:t xml:space="preserve">Meidianto, H. (2018). </w:t>
          </w:r>
          <w:r w:rsidRPr="0035076E">
            <w:rPr>
              <w:rFonts w:ascii="Times New Roman" w:eastAsia="Times New Roman" w:hAnsi="Times New Roman" w:cs="Times New Roman"/>
              <w:i/>
              <w:iCs/>
            </w:rPr>
            <w:t>PERLINDUNGAN HUKUM TERHADAP KORBAN TINDAK PIDANA PENIPUAN ARISAN ONLINE</w:t>
          </w:r>
          <w:r w:rsidRPr="0035076E">
            <w:rPr>
              <w:rFonts w:ascii="Times New Roman" w:eastAsia="Times New Roman" w:hAnsi="Times New Roman" w:cs="Times New Roman"/>
            </w:rPr>
            <w:t>. Universitas Sriwijaya.</w:t>
          </w:r>
        </w:p>
        <w:p w14:paraId="46CE71CD" w14:textId="77777777" w:rsidR="0035076E" w:rsidRPr="0035076E" w:rsidRDefault="0035076E">
          <w:pPr>
            <w:autoSpaceDE w:val="0"/>
            <w:autoSpaceDN w:val="0"/>
            <w:ind w:hanging="480"/>
            <w:divId w:val="1704863492"/>
            <w:rPr>
              <w:rFonts w:ascii="Times New Roman" w:eastAsia="Times New Roman" w:hAnsi="Times New Roman" w:cs="Times New Roman"/>
            </w:rPr>
          </w:pPr>
          <w:r w:rsidRPr="0035076E">
            <w:rPr>
              <w:rFonts w:ascii="Times New Roman" w:eastAsia="Times New Roman" w:hAnsi="Times New Roman" w:cs="Times New Roman"/>
            </w:rPr>
            <w:t xml:space="preserve">Mukarromah, I. D. (2020). </w:t>
          </w:r>
          <w:r w:rsidRPr="0035076E">
            <w:rPr>
              <w:rFonts w:ascii="Times New Roman" w:eastAsia="Times New Roman" w:hAnsi="Times New Roman" w:cs="Times New Roman"/>
              <w:i/>
              <w:iCs/>
            </w:rPr>
            <w:t>Tindak Pidana Penipuan Melalui Online Dalam Kegiatan Arisan Berdasarkan Pasal 378 Kitab Undang - Undang Hukum Pidana</w:t>
          </w:r>
          <w:r w:rsidRPr="0035076E">
            <w:rPr>
              <w:rFonts w:ascii="Times New Roman" w:eastAsia="Times New Roman" w:hAnsi="Times New Roman" w:cs="Times New Roman"/>
            </w:rPr>
            <w:t>. Universitas Islam Malang.</w:t>
          </w:r>
        </w:p>
        <w:p w14:paraId="78F08DC6" w14:textId="77777777" w:rsidR="0035076E" w:rsidRPr="0035076E" w:rsidRDefault="0035076E">
          <w:pPr>
            <w:autoSpaceDE w:val="0"/>
            <w:autoSpaceDN w:val="0"/>
            <w:ind w:hanging="480"/>
            <w:divId w:val="1449006513"/>
            <w:rPr>
              <w:rFonts w:ascii="Times New Roman" w:eastAsia="Times New Roman" w:hAnsi="Times New Roman" w:cs="Times New Roman"/>
            </w:rPr>
          </w:pPr>
          <w:r w:rsidRPr="0035076E">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35076E">
            <w:rPr>
              <w:rFonts w:ascii="Times New Roman" w:eastAsia="Times New Roman" w:hAnsi="Times New Roman" w:cs="Times New Roman"/>
              <w:i/>
              <w:iCs/>
            </w:rPr>
            <w:t>FOCUS</w:t>
          </w:r>
          <w:r w:rsidRPr="0035076E">
            <w:rPr>
              <w:rFonts w:ascii="Times New Roman" w:eastAsia="Times New Roman" w:hAnsi="Times New Roman" w:cs="Times New Roman"/>
            </w:rPr>
            <w:t xml:space="preserve">, </w:t>
          </w:r>
          <w:r w:rsidRPr="0035076E">
            <w:rPr>
              <w:rFonts w:ascii="Times New Roman" w:eastAsia="Times New Roman" w:hAnsi="Times New Roman" w:cs="Times New Roman"/>
              <w:i/>
              <w:iCs/>
            </w:rPr>
            <w:t>4</w:t>
          </w:r>
          <w:r w:rsidRPr="0035076E">
            <w:rPr>
              <w:rFonts w:ascii="Times New Roman" w:eastAsia="Times New Roman" w:hAnsi="Times New Roman" w:cs="Times New Roman"/>
            </w:rPr>
            <w:t>(1), 36–41. https://doi.org/10.37010/fcs.v4i1.1153</w:t>
          </w:r>
        </w:p>
        <w:p w14:paraId="3F7BEFFF" w14:textId="77777777" w:rsidR="0035076E" w:rsidRPr="0035076E" w:rsidRDefault="0035076E">
          <w:pPr>
            <w:autoSpaceDE w:val="0"/>
            <w:autoSpaceDN w:val="0"/>
            <w:ind w:hanging="480"/>
            <w:divId w:val="700714913"/>
            <w:rPr>
              <w:rFonts w:ascii="Times New Roman" w:eastAsia="Times New Roman" w:hAnsi="Times New Roman" w:cs="Times New Roman"/>
            </w:rPr>
          </w:pPr>
          <w:r w:rsidRPr="0035076E">
            <w:rPr>
              <w:rFonts w:ascii="Times New Roman" w:eastAsia="Times New Roman" w:hAnsi="Times New Roman" w:cs="Times New Roman"/>
            </w:rPr>
            <w:t xml:space="preserve">Robbani, H., &amp; Yuliana, N. (2022). Analysis of Factors Affecting Learning Difficulties during the Covid 19 Pandemic. </w:t>
          </w:r>
          <w:r w:rsidRPr="0035076E">
            <w:rPr>
              <w:rFonts w:ascii="Times New Roman" w:eastAsia="Times New Roman" w:hAnsi="Times New Roman" w:cs="Times New Roman"/>
              <w:i/>
              <w:iCs/>
            </w:rPr>
            <w:t>FOCUS</w:t>
          </w:r>
          <w:r w:rsidRPr="0035076E">
            <w:rPr>
              <w:rFonts w:ascii="Times New Roman" w:eastAsia="Times New Roman" w:hAnsi="Times New Roman" w:cs="Times New Roman"/>
            </w:rPr>
            <w:t xml:space="preserve">, </w:t>
          </w:r>
          <w:r w:rsidRPr="0035076E">
            <w:rPr>
              <w:rFonts w:ascii="Times New Roman" w:eastAsia="Times New Roman" w:hAnsi="Times New Roman" w:cs="Times New Roman"/>
              <w:i/>
              <w:iCs/>
            </w:rPr>
            <w:t>3</w:t>
          </w:r>
          <w:r w:rsidRPr="0035076E">
            <w:rPr>
              <w:rFonts w:ascii="Times New Roman" w:eastAsia="Times New Roman" w:hAnsi="Times New Roman" w:cs="Times New Roman"/>
            </w:rPr>
            <w:t>(1), 55–58. https://doi.org/10.37010/fcs.v3i1.537</w:t>
          </w:r>
        </w:p>
        <w:p w14:paraId="10B2E846" w14:textId="77777777" w:rsidR="0035076E" w:rsidRPr="0035076E" w:rsidRDefault="0035076E">
          <w:pPr>
            <w:autoSpaceDE w:val="0"/>
            <w:autoSpaceDN w:val="0"/>
            <w:ind w:hanging="480"/>
            <w:divId w:val="765274187"/>
            <w:rPr>
              <w:rFonts w:ascii="Times New Roman" w:eastAsia="Times New Roman" w:hAnsi="Times New Roman" w:cs="Times New Roman"/>
            </w:rPr>
          </w:pPr>
          <w:r w:rsidRPr="0035076E">
            <w:rPr>
              <w:rFonts w:ascii="Times New Roman" w:eastAsia="Times New Roman" w:hAnsi="Times New Roman" w:cs="Times New Roman"/>
            </w:rPr>
            <w:t xml:space="preserve">Sipahatur, E. S. (2021). ANALISIS HUKUM ATAS PERTANGGUNGJAWABAN TINDAK PIDANA PENIPUAN ARISAN ONLINE MENURUT UNDANG-UNDANG NOMOR 8 TAHUN 2011 TENTANG INFORMASI DAN TRANSAKSI ELEKTRONIK. </w:t>
          </w:r>
          <w:r w:rsidRPr="0035076E">
            <w:rPr>
              <w:rFonts w:ascii="Times New Roman" w:eastAsia="Times New Roman" w:hAnsi="Times New Roman" w:cs="Times New Roman"/>
              <w:i/>
              <w:iCs/>
            </w:rPr>
            <w:t>Jurnal Normatif</w:t>
          </w:r>
          <w:r w:rsidRPr="0035076E">
            <w:rPr>
              <w:rFonts w:ascii="Times New Roman" w:eastAsia="Times New Roman" w:hAnsi="Times New Roman" w:cs="Times New Roman"/>
            </w:rPr>
            <w:t>.</w:t>
          </w:r>
        </w:p>
        <w:p w14:paraId="3A8588B7" w14:textId="77777777" w:rsidR="0035076E" w:rsidRPr="0035076E" w:rsidRDefault="0035076E">
          <w:pPr>
            <w:autoSpaceDE w:val="0"/>
            <w:autoSpaceDN w:val="0"/>
            <w:ind w:hanging="480"/>
            <w:divId w:val="1303316329"/>
            <w:rPr>
              <w:rFonts w:ascii="Times New Roman" w:eastAsia="Times New Roman" w:hAnsi="Times New Roman" w:cs="Times New Roman"/>
            </w:rPr>
          </w:pPr>
          <w:r w:rsidRPr="0035076E">
            <w:rPr>
              <w:rFonts w:ascii="Times New Roman" w:eastAsia="Times New Roman" w:hAnsi="Times New Roman" w:cs="Times New Roman"/>
            </w:rPr>
            <w:t xml:space="preserve">Tanaiyo, A. W. D. P., Nurmaia, L. D., &amp; Kasim, R. (2023). Peran Aparat Penegak Hukum Dalam Menangani Tindak Pidana Penipuan Arisan Online Diwilayah Hukum Kepoliosian Daerah Gorontalo. </w:t>
          </w:r>
          <w:r w:rsidRPr="0035076E">
            <w:rPr>
              <w:rFonts w:ascii="Times New Roman" w:eastAsia="Times New Roman" w:hAnsi="Times New Roman" w:cs="Times New Roman"/>
              <w:i/>
              <w:iCs/>
            </w:rPr>
            <w:t>Humaniora Dan Seni (JISHS)</w:t>
          </w:r>
          <w:r w:rsidRPr="0035076E">
            <w:rPr>
              <w:rFonts w:ascii="Times New Roman" w:eastAsia="Times New Roman" w:hAnsi="Times New Roman" w:cs="Times New Roman"/>
            </w:rPr>
            <w:t xml:space="preserve">, </w:t>
          </w:r>
          <w:r w:rsidRPr="0035076E">
            <w:rPr>
              <w:rFonts w:ascii="Times New Roman" w:eastAsia="Times New Roman" w:hAnsi="Times New Roman" w:cs="Times New Roman"/>
              <w:i/>
              <w:iCs/>
            </w:rPr>
            <w:t>01</w:t>
          </w:r>
          <w:r w:rsidRPr="0035076E">
            <w:rPr>
              <w:rFonts w:ascii="Times New Roman" w:eastAsia="Times New Roman" w:hAnsi="Times New Roman" w:cs="Times New Roman"/>
            </w:rPr>
            <w:t>(3), 564–572. http://jurnal.minartis.com/index.php/jishs</w:t>
          </w:r>
        </w:p>
        <w:p w14:paraId="2FDAB2AB" w14:textId="77777777" w:rsidR="0035076E" w:rsidRPr="0035076E" w:rsidRDefault="0035076E">
          <w:pPr>
            <w:autoSpaceDE w:val="0"/>
            <w:autoSpaceDN w:val="0"/>
            <w:ind w:hanging="480"/>
            <w:divId w:val="1651061395"/>
            <w:rPr>
              <w:rFonts w:ascii="Times New Roman" w:eastAsia="Times New Roman" w:hAnsi="Times New Roman" w:cs="Times New Roman"/>
            </w:rPr>
          </w:pPr>
          <w:r w:rsidRPr="0035076E">
            <w:rPr>
              <w:rFonts w:ascii="Times New Roman" w:eastAsia="Times New Roman" w:hAnsi="Times New Roman" w:cs="Times New Roman"/>
            </w:rPr>
            <w:t xml:space="preserve">Wahyudi, D., Sugiarto Samosir, H., &amp; Sintha Devi, R. (2022). AKIBAT HUKUM BAGI PELAKU TINDAK PIDANA PENIPUAN ONLINE MELALUI MODUS ARISAN ONLINE DI MEDIA SOSIAL ELEKTRONIK. </w:t>
          </w:r>
          <w:r w:rsidRPr="0035076E">
            <w:rPr>
              <w:rFonts w:ascii="Times New Roman" w:eastAsia="Times New Roman" w:hAnsi="Times New Roman" w:cs="Times New Roman"/>
              <w:i/>
              <w:iCs/>
            </w:rPr>
            <w:t>Jurnal Rectum</w:t>
          </w:r>
          <w:r w:rsidRPr="0035076E">
            <w:rPr>
              <w:rFonts w:ascii="Times New Roman" w:eastAsia="Times New Roman" w:hAnsi="Times New Roman" w:cs="Times New Roman"/>
            </w:rPr>
            <w:t xml:space="preserve">, </w:t>
          </w:r>
          <w:r w:rsidRPr="0035076E">
            <w:rPr>
              <w:rFonts w:ascii="Times New Roman" w:eastAsia="Times New Roman" w:hAnsi="Times New Roman" w:cs="Times New Roman"/>
              <w:i/>
              <w:iCs/>
            </w:rPr>
            <w:t>4</w:t>
          </w:r>
          <w:r w:rsidRPr="0035076E">
            <w:rPr>
              <w:rFonts w:ascii="Times New Roman" w:eastAsia="Times New Roman" w:hAnsi="Times New Roman" w:cs="Times New Roman"/>
            </w:rPr>
            <w:t>(2).</w:t>
          </w:r>
        </w:p>
        <w:p w14:paraId="740509F5" w14:textId="77777777" w:rsidR="0035076E" w:rsidRPr="0035076E" w:rsidRDefault="0035076E">
          <w:pPr>
            <w:autoSpaceDE w:val="0"/>
            <w:autoSpaceDN w:val="0"/>
            <w:ind w:hanging="480"/>
            <w:divId w:val="1357730495"/>
            <w:rPr>
              <w:rFonts w:ascii="Times New Roman" w:eastAsia="Times New Roman" w:hAnsi="Times New Roman" w:cs="Times New Roman"/>
            </w:rPr>
          </w:pPr>
          <w:r w:rsidRPr="0035076E">
            <w:rPr>
              <w:rFonts w:ascii="Times New Roman" w:eastAsia="Times New Roman" w:hAnsi="Times New Roman" w:cs="Times New Roman"/>
            </w:rPr>
            <w:t xml:space="preserve">Wahyudi, E., &amp; Bethari, B. S. (2021). PENEGAKAN HUKUM BAGI PELAKU TINDAK PIDANA PENIPUAN ARISAN ONLINE. </w:t>
          </w:r>
          <w:r w:rsidRPr="0035076E">
            <w:rPr>
              <w:rFonts w:ascii="Times New Roman" w:eastAsia="Times New Roman" w:hAnsi="Times New Roman" w:cs="Times New Roman"/>
              <w:i/>
              <w:iCs/>
            </w:rPr>
            <w:t>Supremasi Jurnal Hukum</w:t>
          </w:r>
          <w:r w:rsidRPr="0035076E">
            <w:rPr>
              <w:rFonts w:ascii="Times New Roman" w:eastAsia="Times New Roman" w:hAnsi="Times New Roman" w:cs="Times New Roman"/>
            </w:rPr>
            <w:t xml:space="preserve">, </w:t>
          </w:r>
          <w:r w:rsidRPr="0035076E">
            <w:rPr>
              <w:rFonts w:ascii="Times New Roman" w:eastAsia="Times New Roman" w:hAnsi="Times New Roman" w:cs="Times New Roman"/>
              <w:i/>
              <w:iCs/>
            </w:rPr>
            <w:t>4</w:t>
          </w:r>
          <w:r w:rsidRPr="0035076E">
            <w:rPr>
              <w:rFonts w:ascii="Times New Roman" w:eastAsia="Times New Roman" w:hAnsi="Times New Roman" w:cs="Times New Roman"/>
            </w:rPr>
            <w:t>(1).</w:t>
          </w:r>
        </w:p>
        <w:p w14:paraId="0000004F" w14:textId="005BF2EB" w:rsidR="000A47E5" w:rsidRPr="0035076E" w:rsidRDefault="0035076E">
          <w:pPr>
            <w:spacing w:before="20"/>
            <w:ind w:left="850" w:hanging="850"/>
            <w:jc w:val="both"/>
            <w:rPr>
              <w:rFonts w:ascii="Times New Roman" w:eastAsia="Times New Roman" w:hAnsi="Times New Roman" w:cs="Times New Roman"/>
              <w:color w:val="222222"/>
              <w:sz w:val="24"/>
              <w:szCs w:val="24"/>
              <w:highlight w:val="white"/>
            </w:rPr>
          </w:pPr>
          <w:r w:rsidRPr="0035076E">
            <w:rPr>
              <w:rFonts w:ascii="Times New Roman" w:eastAsia="Times New Roman" w:hAnsi="Times New Roman" w:cs="Times New Roman"/>
            </w:rPr>
            <w:t> </w:t>
          </w:r>
        </w:p>
      </w:sdtContent>
    </w:sdt>
    <w:p w14:paraId="00000050" w14:textId="77777777" w:rsidR="000A47E5" w:rsidRPr="0035076E" w:rsidRDefault="000A47E5">
      <w:pPr>
        <w:spacing w:before="20"/>
        <w:ind w:left="850" w:hanging="850"/>
        <w:jc w:val="both"/>
        <w:rPr>
          <w:rFonts w:ascii="Times New Roman" w:eastAsia="Times New Roman" w:hAnsi="Times New Roman" w:cs="Times New Roman"/>
          <w:color w:val="222222"/>
          <w:sz w:val="24"/>
          <w:szCs w:val="24"/>
          <w:highlight w:val="white"/>
        </w:rPr>
      </w:pPr>
    </w:p>
    <w:sectPr w:rsidR="000A47E5" w:rsidRPr="0035076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810"/>
    <w:multiLevelType w:val="multilevel"/>
    <w:tmpl w:val="B7941B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CE41EE6"/>
    <w:multiLevelType w:val="multilevel"/>
    <w:tmpl w:val="2F4AA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2137A2F"/>
    <w:multiLevelType w:val="multilevel"/>
    <w:tmpl w:val="43568CE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16cid:durableId="605238046">
    <w:abstractNumId w:val="1"/>
  </w:num>
  <w:num w:numId="2" w16cid:durableId="1386880496">
    <w:abstractNumId w:val="2"/>
  </w:num>
  <w:num w:numId="3" w16cid:durableId="1999647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7E5"/>
    <w:rsid w:val="000A47E5"/>
    <w:rsid w:val="0035076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72B4"/>
  <w15:docId w15:val="{D357292F-F034-445B-8075-235B3E39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3507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0360">
      <w:bodyDiv w:val="1"/>
      <w:marLeft w:val="0"/>
      <w:marRight w:val="0"/>
      <w:marTop w:val="0"/>
      <w:marBottom w:val="0"/>
      <w:divBdr>
        <w:top w:val="none" w:sz="0" w:space="0" w:color="auto"/>
        <w:left w:val="none" w:sz="0" w:space="0" w:color="auto"/>
        <w:bottom w:val="none" w:sz="0" w:space="0" w:color="auto"/>
        <w:right w:val="none" w:sz="0" w:space="0" w:color="auto"/>
      </w:divBdr>
    </w:div>
    <w:div w:id="71196137">
      <w:bodyDiv w:val="1"/>
      <w:marLeft w:val="0"/>
      <w:marRight w:val="0"/>
      <w:marTop w:val="0"/>
      <w:marBottom w:val="0"/>
      <w:divBdr>
        <w:top w:val="none" w:sz="0" w:space="0" w:color="auto"/>
        <w:left w:val="none" w:sz="0" w:space="0" w:color="auto"/>
        <w:bottom w:val="none" w:sz="0" w:space="0" w:color="auto"/>
        <w:right w:val="none" w:sz="0" w:space="0" w:color="auto"/>
      </w:divBdr>
    </w:div>
    <w:div w:id="286012901">
      <w:bodyDiv w:val="1"/>
      <w:marLeft w:val="0"/>
      <w:marRight w:val="0"/>
      <w:marTop w:val="0"/>
      <w:marBottom w:val="0"/>
      <w:divBdr>
        <w:top w:val="none" w:sz="0" w:space="0" w:color="auto"/>
        <w:left w:val="none" w:sz="0" w:space="0" w:color="auto"/>
        <w:bottom w:val="none" w:sz="0" w:space="0" w:color="auto"/>
        <w:right w:val="none" w:sz="0" w:space="0" w:color="auto"/>
      </w:divBdr>
    </w:div>
    <w:div w:id="487020736">
      <w:bodyDiv w:val="1"/>
      <w:marLeft w:val="0"/>
      <w:marRight w:val="0"/>
      <w:marTop w:val="0"/>
      <w:marBottom w:val="0"/>
      <w:divBdr>
        <w:top w:val="none" w:sz="0" w:space="0" w:color="auto"/>
        <w:left w:val="none" w:sz="0" w:space="0" w:color="auto"/>
        <w:bottom w:val="none" w:sz="0" w:space="0" w:color="auto"/>
        <w:right w:val="none" w:sz="0" w:space="0" w:color="auto"/>
      </w:divBdr>
    </w:div>
    <w:div w:id="631329125">
      <w:bodyDiv w:val="1"/>
      <w:marLeft w:val="0"/>
      <w:marRight w:val="0"/>
      <w:marTop w:val="0"/>
      <w:marBottom w:val="0"/>
      <w:divBdr>
        <w:top w:val="none" w:sz="0" w:space="0" w:color="auto"/>
        <w:left w:val="none" w:sz="0" w:space="0" w:color="auto"/>
        <w:bottom w:val="none" w:sz="0" w:space="0" w:color="auto"/>
        <w:right w:val="none" w:sz="0" w:space="0" w:color="auto"/>
      </w:divBdr>
    </w:div>
    <w:div w:id="686254772">
      <w:bodyDiv w:val="1"/>
      <w:marLeft w:val="0"/>
      <w:marRight w:val="0"/>
      <w:marTop w:val="0"/>
      <w:marBottom w:val="0"/>
      <w:divBdr>
        <w:top w:val="none" w:sz="0" w:space="0" w:color="auto"/>
        <w:left w:val="none" w:sz="0" w:space="0" w:color="auto"/>
        <w:bottom w:val="none" w:sz="0" w:space="0" w:color="auto"/>
        <w:right w:val="none" w:sz="0" w:space="0" w:color="auto"/>
      </w:divBdr>
    </w:div>
    <w:div w:id="857111914">
      <w:bodyDiv w:val="1"/>
      <w:marLeft w:val="0"/>
      <w:marRight w:val="0"/>
      <w:marTop w:val="0"/>
      <w:marBottom w:val="0"/>
      <w:divBdr>
        <w:top w:val="none" w:sz="0" w:space="0" w:color="auto"/>
        <w:left w:val="none" w:sz="0" w:space="0" w:color="auto"/>
        <w:bottom w:val="none" w:sz="0" w:space="0" w:color="auto"/>
        <w:right w:val="none" w:sz="0" w:space="0" w:color="auto"/>
      </w:divBdr>
    </w:div>
    <w:div w:id="890271024">
      <w:bodyDiv w:val="1"/>
      <w:marLeft w:val="0"/>
      <w:marRight w:val="0"/>
      <w:marTop w:val="0"/>
      <w:marBottom w:val="0"/>
      <w:divBdr>
        <w:top w:val="none" w:sz="0" w:space="0" w:color="auto"/>
        <w:left w:val="none" w:sz="0" w:space="0" w:color="auto"/>
        <w:bottom w:val="none" w:sz="0" w:space="0" w:color="auto"/>
        <w:right w:val="none" w:sz="0" w:space="0" w:color="auto"/>
      </w:divBdr>
    </w:div>
    <w:div w:id="985088421">
      <w:bodyDiv w:val="1"/>
      <w:marLeft w:val="0"/>
      <w:marRight w:val="0"/>
      <w:marTop w:val="0"/>
      <w:marBottom w:val="0"/>
      <w:divBdr>
        <w:top w:val="none" w:sz="0" w:space="0" w:color="auto"/>
        <w:left w:val="none" w:sz="0" w:space="0" w:color="auto"/>
        <w:bottom w:val="none" w:sz="0" w:space="0" w:color="auto"/>
        <w:right w:val="none" w:sz="0" w:space="0" w:color="auto"/>
      </w:divBdr>
    </w:div>
    <w:div w:id="1443067554">
      <w:bodyDiv w:val="1"/>
      <w:marLeft w:val="0"/>
      <w:marRight w:val="0"/>
      <w:marTop w:val="0"/>
      <w:marBottom w:val="0"/>
      <w:divBdr>
        <w:top w:val="none" w:sz="0" w:space="0" w:color="auto"/>
        <w:left w:val="none" w:sz="0" w:space="0" w:color="auto"/>
        <w:bottom w:val="none" w:sz="0" w:space="0" w:color="auto"/>
        <w:right w:val="none" w:sz="0" w:space="0" w:color="auto"/>
      </w:divBdr>
    </w:div>
    <w:div w:id="1467895137">
      <w:bodyDiv w:val="1"/>
      <w:marLeft w:val="0"/>
      <w:marRight w:val="0"/>
      <w:marTop w:val="0"/>
      <w:marBottom w:val="0"/>
      <w:divBdr>
        <w:top w:val="none" w:sz="0" w:space="0" w:color="auto"/>
        <w:left w:val="none" w:sz="0" w:space="0" w:color="auto"/>
        <w:bottom w:val="none" w:sz="0" w:space="0" w:color="auto"/>
        <w:right w:val="none" w:sz="0" w:space="0" w:color="auto"/>
      </w:divBdr>
    </w:div>
    <w:div w:id="1608658709">
      <w:bodyDiv w:val="1"/>
      <w:marLeft w:val="0"/>
      <w:marRight w:val="0"/>
      <w:marTop w:val="0"/>
      <w:marBottom w:val="0"/>
      <w:divBdr>
        <w:top w:val="none" w:sz="0" w:space="0" w:color="auto"/>
        <w:left w:val="none" w:sz="0" w:space="0" w:color="auto"/>
        <w:bottom w:val="none" w:sz="0" w:space="0" w:color="auto"/>
        <w:right w:val="none" w:sz="0" w:space="0" w:color="auto"/>
      </w:divBdr>
    </w:div>
    <w:div w:id="1783842557">
      <w:bodyDiv w:val="1"/>
      <w:marLeft w:val="0"/>
      <w:marRight w:val="0"/>
      <w:marTop w:val="0"/>
      <w:marBottom w:val="0"/>
      <w:divBdr>
        <w:top w:val="none" w:sz="0" w:space="0" w:color="auto"/>
        <w:left w:val="none" w:sz="0" w:space="0" w:color="auto"/>
        <w:bottom w:val="none" w:sz="0" w:space="0" w:color="auto"/>
        <w:right w:val="none" w:sz="0" w:space="0" w:color="auto"/>
      </w:divBdr>
    </w:div>
    <w:div w:id="2059359574">
      <w:bodyDiv w:val="1"/>
      <w:marLeft w:val="0"/>
      <w:marRight w:val="0"/>
      <w:marTop w:val="0"/>
      <w:marBottom w:val="0"/>
      <w:divBdr>
        <w:top w:val="none" w:sz="0" w:space="0" w:color="auto"/>
        <w:left w:val="none" w:sz="0" w:space="0" w:color="auto"/>
        <w:bottom w:val="none" w:sz="0" w:space="0" w:color="auto"/>
        <w:right w:val="none" w:sz="0" w:space="0" w:color="auto"/>
      </w:divBdr>
    </w:div>
    <w:div w:id="2103262596">
      <w:bodyDiv w:val="1"/>
      <w:marLeft w:val="0"/>
      <w:marRight w:val="0"/>
      <w:marTop w:val="0"/>
      <w:marBottom w:val="0"/>
      <w:divBdr>
        <w:top w:val="none" w:sz="0" w:space="0" w:color="auto"/>
        <w:left w:val="none" w:sz="0" w:space="0" w:color="auto"/>
        <w:bottom w:val="none" w:sz="0" w:space="0" w:color="auto"/>
        <w:right w:val="none" w:sz="0" w:space="0" w:color="auto"/>
      </w:divBdr>
    </w:div>
    <w:div w:id="2123568789">
      <w:bodyDiv w:val="1"/>
      <w:marLeft w:val="0"/>
      <w:marRight w:val="0"/>
      <w:marTop w:val="0"/>
      <w:marBottom w:val="0"/>
      <w:divBdr>
        <w:top w:val="none" w:sz="0" w:space="0" w:color="auto"/>
        <w:left w:val="none" w:sz="0" w:space="0" w:color="auto"/>
        <w:bottom w:val="none" w:sz="0" w:space="0" w:color="auto"/>
        <w:right w:val="none" w:sz="0" w:space="0" w:color="auto"/>
      </w:divBdr>
    </w:div>
    <w:div w:id="2139294060">
      <w:bodyDiv w:val="1"/>
      <w:marLeft w:val="0"/>
      <w:marRight w:val="0"/>
      <w:marTop w:val="0"/>
      <w:marBottom w:val="0"/>
      <w:divBdr>
        <w:top w:val="none" w:sz="0" w:space="0" w:color="auto"/>
        <w:left w:val="none" w:sz="0" w:space="0" w:color="auto"/>
        <w:bottom w:val="none" w:sz="0" w:space="0" w:color="auto"/>
        <w:right w:val="none" w:sz="0" w:space="0" w:color="auto"/>
      </w:divBdr>
      <w:divsChild>
        <w:div w:id="601456342">
          <w:marLeft w:val="480"/>
          <w:marRight w:val="0"/>
          <w:marTop w:val="0"/>
          <w:marBottom w:val="0"/>
          <w:divBdr>
            <w:top w:val="none" w:sz="0" w:space="0" w:color="auto"/>
            <w:left w:val="none" w:sz="0" w:space="0" w:color="auto"/>
            <w:bottom w:val="none" w:sz="0" w:space="0" w:color="auto"/>
            <w:right w:val="none" w:sz="0" w:space="0" w:color="auto"/>
          </w:divBdr>
        </w:div>
        <w:div w:id="177082540">
          <w:marLeft w:val="480"/>
          <w:marRight w:val="0"/>
          <w:marTop w:val="0"/>
          <w:marBottom w:val="0"/>
          <w:divBdr>
            <w:top w:val="none" w:sz="0" w:space="0" w:color="auto"/>
            <w:left w:val="none" w:sz="0" w:space="0" w:color="auto"/>
            <w:bottom w:val="none" w:sz="0" w:space="0" w:color="auto"/>
            <w:right w:val="none" w:sz="0" w:space="0" w:color="auto"/>
          </w:divBdr>
        </w:div>
        <w:div w:id="648896969">
          <w:marLeft w:val="480"/>
          <w:marRight w:val="0"/>
          <w:marTop w:val="0"/>
          <w:marBottom w:val="0"/>
          <w:divBdr>
            <w:top w:val="none" w:sz="0" w:space="0" w:color="auto"/>
            <w:left w:val="none" w:sz="0" w:space="0" w:color="auto"/>
            <w:bottom w:val="none" w:sz="0" w:space="0" w:color="auto"/>
            <w:right w:val="none" w:sz="0" w:space="0" w:color="auto"/>
          </w:divBdr>
        </w:div>
        <w:div w:id="1978335712">
          <w:marLeft w:val="480"/>
          <w:marRight w:val="0"/>
          <w:marTop w:val="0"/>
          <w:marBottom w:val="0"/>
          <w:divBdr>
            <w:top w:val="none" w:sz="0" w:space="0" w:color="auto"/>
            <w:left w:val="none" w:sz="0" w:space="0" w:color="auto"/>
            <w:bottom w:val="none" w:sz="0" w:space="0" w:color="auto"/>
            <w:right w:val="none" w:sz="0" w:space="0" w:color="auto"/>
          </w:divBdr>
        </w:div>
        <w:div w:id="1704863492">
          <w:marLeft w:val="480"/>
          <w:marRight w:val="0"/>
          <w:marTop w:val="0"/>
          <w:marBottom w:val="0"/>
          <w:divBdr>
            <w:top w:val="none" w:sz="0" w:space="0" w:color="auto"/>
            <w:left w:val="none" w:sz="0" w:space="0" w:color="auto"/>
            <w:bottom w:val="none" w:sz="0" w:space="0" w:color="auto"/>
            <w:right w:val="none" w:sz="0" w:space="0" w:color="auto"/>
          </w:divBdr>
        </w:div>
        <w:div w:id="1449006513">
          <w:marLeft w:val="480"/>
          <w:marRight w:val="0"/>
          <w:marTop w:val="0"/>
          <w:marBottom w:val="0"/>
          <w:divBdr>
            <w:top w:val="none" w:sz="0" w:space="0" w:color="auto"/>
            <w:left w:val="none" w:sz="0" w:space="0" w:color="auto"/>
            <w:bottom w:val="none" w:sz="0" w:space="0" w:color="auto"/>
            <w:right w:val="none" w:sz="0" w:space="0" w:color="auto"/>
          </w:divBdr>
        </w:div>
        <w:div w:id="700714913">
          <w:marLeft w:val="480"/>
          <w:marRight w:val="0"/>
          <w:marTop w:val="0"/>
          <w:marBottom w:val="0"/>
          <w:divBdr>
            <w:top w:val="none" w:sz="0" w:space="0" w:color="auto"/>
            <w:left w:val="none" w:sz="0" w:space="0" w:color="auto"/>
            <w:bottom w:val="none" w:sz="0" w:space="0" w:color="auto"/>
            <w:right w:val="none" w:sz="0" w:space="0" w:color="auto"/>
          </w:divBdr>
        </w:div>
        <w:div w:id="765274187">
          <w:marLeft w:val="480"/>
          <w:marRight w:val="0"/>
          <w:marTop w:val="0"/>
          <w:marBottom w:val="0"/>
          <w:divBdr>
            <w:top w:val="none" w:sz="0" w:space="0" w:color="auto"/>
            <w:left w:val="none" w:sz="0" w:space="0" w:color="auto"/>
            <w:bottom w:val="none" w:sz="0" w:space="0" w:color="auto"/>
            <w:right w:val="none" w:sz="0" w:space="0" w:color="auto"/>
          </w:divBdr>
        </w:div>
        <w:div w:id="1303316329">
          <w:marLeft w:val="480"/>
          <w:marRight w:val="0"/>
          <w:marTop w:val="0"/>
          <w:marBottom w:val="0"/>
          <w:divBdr>
            <w:top w:val="none" w:sz="0" w:space="0" w:color="auto"/>
            <w:left w:val="none" w:sz="0" w:space="0" w:color="auto"/>
            <w:bottom w:val="none" w:sz="0" w:space="0" w:color="auto"/>
            <w:right w:val="none" w:sz="0" w:space="0" w:color="auto"/>
          </w:divBdr>
        </w:div>
        <w:div w:id="1651061395">
          <w:marLeft w:val="480"/>
          <w:marRight w:val="0"/>
          <w:marTop w:val="0"/>
          <w:marBottom w:val="0"/>
          <w:divBdr>
            <w:top w:val="none" w:sz="0" w:space="0" w:color="auto"/>
            <w:left w:val="none" w:sz="0" w:space="0" w:color="auto"/>
            <w:bottom w:val="none" w:sz="0" w:space="0" w:color="auto"/>
            <w:right w:val="none" w:sz="0" w:space="0" w:color="auto"/>
          </w:divBdr>
        </w:div>
        <w:div w:id="1357730495">
          <w:marLeft w:val="48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7B464B2-A0E4-4A62-B70D-0BCD86FFC946}"/>
      </w:docPartPr>
      <w:docPartBody>
        <w:p w:rsidR="00000000" w:rsidRDefault="0064199D">
          <w:r w:rsidRPr="00E35791">
            <w:rPr>
              <w:rStyle w:val="PlaceholderText"/>
            </w:rPr>
            <w:t>Click or tap here to enter text.</w:t>
          </w:r>
        </w:p>
      </w:docPartBody>
    </w:docPart>
    <w:docPart>
      <w:docPartPr>
        <w:name w:val="E15DAB3A4C494D42AB636625AAE4F02C"/>
        <w:category>
          <w:name w:val="General"/>
          <w:gallery w:val="placeholder"/>
        </w:category>
        <w:types>
          <w:type w:val="bbPlcHdr"/>
        </w:types>
        <w:behaviors>
          <w:behavior w:val="content"/>
        </w:behaviors>
        <w:guid w:val="{7C814210-8AC4-49AB-A522-831E4DF08829}"/>
      </w:docPartPr>
      <w:docPartBody>
        <w:p w:rsidR="00000000" w:rsidRDefault="0064199D" w:rsidP="0064199D">
          <w:pPr>
            <w:pStyle w:val="E15DAB3A4C494D42AB636625AAE4F02C"/>
          </w:pPr>
          <w:r w:rsidRPr="00E357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99D"/>
    <w:rsid w:val="0064199D"/>
    <w:rsid w:val="0071774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99D"/>
    <w:rPr>
      <w:color w:val="808080"/>
    </w:rPr>
  </w:style>
  <w:style w:type="paragraph" w:customStyle="1" w:styleId="E15DAB3A4C494D42AB636625AAE4F02C">
    <w:name w:val="E15DAB3A4C494D42AB636625AAE4F02C"/>
    <w:rsid w:val="00641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F199677-DB6F-4B4D-853C-F514D796EB1D}">
  <we:reference id="wa104382081" version="1.55.1.0" store="en-US" storeType="OMEX"/>
  <we:alternateReferences>
    <we:reference id="WA104382081" version="1.55.1.0" store="en-US" storeType="OMEX"/>
  </we:alternateReferences>
  <we:properties>
    <we:property name="MENDELEY_CITATIONS" value="[{&quot;citationID&quot;:&quot;MENDELEY_CITATION_1d83bc4e-fe83-4a18-95d7-6303d8072392&quot;,&quot;properties&quot;:{&quot;noteIndex&quot;:0},&quot;isEdited&quot;:false,&quot;manualOverride&quot;:{&quot;isManuallyOverridden&quot;:false,&quot;citeprocText&quot;:&quot;(Mukarromah, 2020)&quot;,&quot;manualOverrideText&quot;:&quot;&quot;},&quot;citationTag&quot;:&quot;MENDELEY_CITATION_v3_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&quot;,&quot;citationItems&quot;:[{&quot;id&quot;:&quot;31132880-9f81-3ec1-bc2d-786d7804a3ab&quot;,&quot;itemData&quot;:{&quot;type&quot;:&quot;thesis&quot;,&quot;id&quot;:&quot;31132880-9f81-3ec1-bc2d-786d7804a3ab&quot;,&quot;title&quot;:&quot;Tindak Pidana Penipuan Melalui Online Dalam Kegiatan Arisan Berdasarkan Pasal 378 Kitab Undang - Undang Hukum Pidana&quot;,&quot;author&quot;:[{&quot;family&quot;:&quot;Mukarromah&quot;,&quot;given&quot;:&quot;Ira Dwi&quot;,&quot;parse-names&quot;:false,&quot;dropping-particle&quot;:&quot;&quot;,&quot;non-dropping-particle&quot;:&quot;&quot;}],&quot;issued&quot;:{&quot;date-parts&quot;:[[2020]]},&quot;publisher-place&quot;:&quot;Malang&quot;,&quot;publisher&quot;:&quot;Universitas Islam Malang&quot;,&quot;container-title-short&quot;:&quot;&quot;},&quot;isTemporary&quot;:false}]},{&quot;citationID&quot;:&quot;MENDELEY_CITATION_d29c9e39-fb03-47f0-a7f2-994addb91884&quot;,&quot;properties&quot;:{&quot;noteIndex&quot;:0},&quot;isEdited&quot;:false,&quot;manualOverride&quot;:{&quot;isManuallyOverridden&quot;:false,&quot;citeprocText&quot;:&quot;(Tanaiyo et al., 2023)&quot;,&quot;manualOverrideText&quot;:&quot;&quot;},&quot;citationTag&quot;:&quot;MENDELEY_CITATION_v3_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&quot;,&quot;citationItems&quot;:[{&quot;id&quot;:&quot;06ca0494-b3ce-3b46-a298-f6147f107798&quot;,&quot;itemData&quot;:{&quot;type&quot;:&quot;article-journal&quot;,&quot;id&quot;:&quot;06ca0494-b3ce-3b46-a298-f6147f107798&quot;,&quot;title&quot;:&quot;Peran Aparat Penegak Hukum Dalam Menangani Tindak Pidana Penipuan Arisan Online Diwilayah Hukum Kepoliosian Daerah Gorontalo&quot;,&quot;author&quot;:[{&quot;family&quot;:&quot;Tanaiyo&quot;,&quot;given&quot;:&quot;Abdul Wahidin D P&quot;,&quot;parse-names&quot;:false,&quot;dropping-particle&quot;:&quot;&quot;,&quot;non-dropping-particle&quot;:&quot;&quot;},{&quot;family&quot;:&quot;Nurmaia&quot;,&quot;given&quot;:&quot;Leni Dwi&quot;,&quot;parse-names&quot;:false,&quot;dropping-particle&quot;:&quot;&quot;,&quot;non-dropping-particle&quot;:&quot;&quot;},{&quot;family&quot;:&quot;Kasim&quot;,&quot;given&quot;:&quot;Ramdhan&quot;,&quot;parse-names&quot;:false,&quot;dropping-particle&quot;:&quot;&quot;,&quot;non-dropping-particle&quot;:&quot;&quot;}],&quot;container-title&quot;:&quot;Humaniora dan Seni (JISHS)&quot;,&quot;ISSN&quot;:&quot;2963-5802&quot;,&quot;URL&quot;:&quot;http://jurnal.minartis.com/index.php/jishs&quot;,&quot;issued&quot;:{&quot;date-parts&quot;:[[2023]]},&quot;page&quot;:&quot;564-572&quot;,&quot;abstract&quot;:&quot;This study aims to find out how the regulation of criminal acts of online arisan fraud is based on Indonesian law, what is the role of law enforcement officials in dealing with criminal acts of online arisan fraud in the jurisdiction of the Gorontalo regional police, and how is the process for solving criminal acts of online arisan fraud in the jurisdiction of the Gorontalo regional police. .. This study uses empirical legal research methods which are conducted by collecting data through observation and interviews. The results of the study indicate that there are criminal cases of fraud under the guise of online arisan in the jurisdiction of the Gorontalo regional police, the need for strict law enforcement by the police in carrying out their duties, especially in the management of investigations carried out by the police so that they can catch any perpetrators of fraud under the guise of online arisan such as which has been confirmed by the applicable law. Police conducted outreach to the public about online arisan and the risks of fraud that might occur. Polda Gorontalo organizes meetings, seminars and outreach campaigns to raise public awareness about how to avoid fraud in online gatherings. The Gorontalo Regional Police provided information on steps to be taken, such as verifying the organizers of the social gathering, checking reputation, and not sharing personal information carelessly. In addition, as an investigator for the Gorontalo Regional Police, he also plays a role in eradicating criminal acts of online gathering fraud and receiving reports from victims of fraud and conducting in-depth investigations of the case. In the legal settlement of the perpetrators of the crime of online arisan fraud, the Gorontalo Police took non-formal and formal routes and a restorative justice approach could be an option to restore material losses experienced by victims. However, the process of handling cases of online arisan fraud is often complex and takes quite a long time.&quot;,&quot;issue&quot;:&quot;3&quot;,&quot;volume&quot;:&quot;01&quot;,&quot;container-title-short&quot;:&quot;&quot;},&quot;isTemporary&quot;:false}]},{&quot;citationID&quot;:&quot;MENDELEY_CITATION_726c9b64-b72e-4df9-a62f-6139b1d9a223&quot;,&quot;properties&quot;:{&quot;noteIndex&quot;:0},&quot;isEdited&quot;:false,&quot;manualOverride&quot;:{&quot;isManuallyOverridden&quot;:false,&quot;citeprocText&quot;:&quot;(Sipahatur, 2021)&quot;,&quot;manualOverrideText&quot;:&quot;&quot;},&quot;citationTag&quot;:&quot;MENDELEY_CITATION_v3_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&quot;,&quot;citationItems&quot;:[{&quot;id&quot;:&quot;2701a0b7-b23b-3df7-9503-b62527ed0d8e&quot;,&quot;itemData&quot;:{&quot;type&quot;:&quot;article-journal&quot;,&quot;id&quot;:&quot;2701a0b7-b23b-3df7-9503-b62527ed0d8e&quot;,&quot;title&quot;:&quot;ANALISIS HUKUM ATAS PERTANGGUNGJAWABAN TINDAK PIDANA PENIPUAN ARISAN ONLINE MENURUT UNDANG-UNDANG NOMOR 8 TAHUN 2011 TENTANG INFORMASI DAN TRANSAKSI ELEKTRONIK&quot;,&quot;author&quot;:[{&quot;family&quot;:&quot;Sipahatur&quot;,&quot;given&quot;:&quot;Ervina Sari&quot;,&quot;parse-names&quot;:false,&quot;dropping-particle&quot;:&quot;&quot;,&quot;non-dropping-particle&quot;:&quot;&quot;}],&quot;container-title&quot;:&quot;Jurnal Normatif&quot;,&quot;issued&quot;:{&quot;date-parts&quot;:[[2021]]},&quot;container-title-short&quot;:&quot;&quot;},&quot;isTemporary&quot;:false}]},{&quot;citationID&quot;:&quot;MENDELEY_CITATION_7ac9aba7-5d3a-4abc-b3f9-76180d80585f&quot;,&quot;properties&quot;:{&quot;noteIndex&quot;:0},&quot;isEdited&quot;:false,&quot;manualOverride&quot;:{&quot;isManuallyOverridden&quot;:false,&quot;citeprocText&quot;:&quot;(E. Wahyudi &amp;#38; Bethari, 2021)&quot;,&quot;manualOverrideText&quot;:&quot;&quot;},&quot;citationItems&quot;:[{&quot;id&quot;:&quot;50d8ea7e-2c81-3e40-8476-6f2964f9f0ac&quot;,&quot;itemData&quot;:{&quot;type&quot;:&quot;article-journal&quot;,&quot;id&quot;:&quot;50d8ea7e-2c81-3e40-8476-6f2964f9f0ac&quot;,&quot;title&quot;:&quot;PENEGAKAN HUKUM BAGI PELAKU TINDAK PIDANA PENIPUAN ARISAN ONLINE&quot;,&quot;author&quot;:[{&quot;family&quot;:&quot;Wahyudi&quot;,&quot;given&quot;:&quot;Eko&quot;,&quot;parse-names&quot;:false,&quot;dropping-particle&quot;:&quot;&quot;,&quot;non-dropping-particle&quot;:&quot;&quot;},{&quot;family&quot;:&quot;Bethari&quot;,&quot;given&quot;:&quot;Brigita Shinta&quot;,&quot;parse-names&quot;:false,&quot;dropping-particle&quot;:&quot;&quot;,&quot;non-dropping-particle&quot;:&quot;&quot;}],&quot;container-title&quot;:&quot;Supremasi Jurnal Hukum&quot;,&quot;ISSN&quot;:&quot;2621-7007&quot;,&quot;issued&quot;:{&quot;date-parts&quot;:[[2021]]},&quot;issue&quot;:&quot;1&quot;,&quot;volume&quot;:&quot;4&quot;,&quot;container-title-short&quot;:&quot;&quot;},&quot;isTemporary&quot;:false}],&quot;citationTag&quot;:&quot;MENDELEY_CITATION_v3_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&quot;},{&quot;citationID&quot;:&quot;MENDELEY_CITATION_4b4602a1-dcb0-4497-aaad-1b000e761b09&quot;,&quot;properties&quot;:{&quot;noteIndex&quot;:0},&quot;isEdited&quot;:false,&quot;manualOverride&quot;:{&quot;isManuallyOverridden&quot;:false,&quot;citeprocText&quot;:&quot;(E. Wahyudi &amp;#38; Bethari, 2021)&quot;,&quot;manualOverrideText&quot;:&quot;&quot;},&quot;citationItems&quot;:[{&quot;id&quot;:&quot;50d8ea7e-2c81-3e40-8476-6f2964f9f0ac&quot;,&quot;itemData&quot;:{&quot;type&quot;:&quot;article-journal&quot;,&quot;id&quot;:&quot;50d8ea7e-2c81-3e40-8476-6f2964f9f0ac&quot;,&quot;title&quot;:&quot;PENEGAKAN HUKUM BAGI PELAKU TINDAK PIDANA PENIPUAN ARISAN ONLINE&quot;,&quot;author&quot;:[{&quot;family&quot;:&quot;Wahyudi&quot;,&quot;given&quot;:&quot;Eko&quot;,&quot;parse-names&quot;:false,&quot;dropping-particle&quot;:&quot;&quot;,&quot;non-dropping-particle&quot;:&quot;&quot;},{&quot;family&quot;:&quot;Bethari&quot;,&quot;given&quot;:&quot;Brigita Shinta&quot;,&quot;parse-names&quot;:false,&quot;dropping-particle&quot;:&quot;&quot;,&quot;non-dropping-particle&quot;:&quot;&quot;}],&quot;container-title&quot;:&quot;Supremasi Jurnal Hukum&quot;,&quot;ISSN&quot;:&quot;2621-7007&quot;,&quot;issued&quot;:{&quot;date-parts&quot;:[[2021]]},&quot;issue&quot;:&quot;1&quot;,&quot;volume&quot;:&quot;4&quot;,&quot;container-title-short&quot;:&quot;&quot;},&quot;isTemporary&quot;:false}],&quot;citationTag&quot;:&quot;MENDELEY_CITATION_v3_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&quot;},{&quot;citationID&quot;:&quot;MENDELEY_CITATION_801eb385-a3a6-4ca3-a89b-8efe38499672&quot;,&quot;properties&quot;:{&quot;noteIndex&quot;:0},&quot;isEdited&quot;:false,&quot;manualOverride&quot;:{&quot;isManuallyOverridden&quot;:false,&quot;citeprocText&quot;:&quot;(Gultom, 2022)&quot;,&quot;manualOverrideText&quot;:&quot;&quot;},&quot;citationTag&quot;:&quot;MENDELEY_CITATION_v3_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&quot;,&quot;citationItems&quot;:[{&quot;id&quot;:&quot;bfc968cb-f034-33ac-ab2c-822412ba4878&quot;,&quot;itemData&quot;:{&quot;type&quot;:&quot;article-journal&quot;,&quot;id&quot;:&quot;bfc968cb-f034-33ac-ab2c-822412ba4878&quot;,&quot;title&quot;:&quot;Analisis Kriminologi Terhadap Pelaku Tindak Pidana Penipuan Dengan Modus Arisan Online (Studi Pada Kepolisian Resor Kota Besar Medan)&quot;,&quot;author&quot;:[{&quot;family&quot;:&quot;Gultom&quot;,&quot;given&quot;:&quot;Khairul Fahmi&quot;,&quot;parse-names&quot;:false,&quot;dropping-particle&quot;:&quot;&quot;,&quot;non-dropping-particle&quot;:&quot;&quot;}],&quot;container-title&quot;:&quot;JIMHUM&quot;,&quot;ISSN&quot;:&quot;2808-6708&quot;,&quot;issued&quot;:{&quot;date-parts&quot;:[[2022]]},&quot;page&quot;:&quot;1-17&quot;,&quot;volume&quot;:&quot;2&quot;,&quot;container-title-short&quot;:&quot;&quot;},&quot;isTemporary&quot;:false}]},{&quot;citationID&quot;:&quot;MENDELEY_CITATION_811eaa81-cf1b-4c96-84c7-0784ba796b26&quot;,&quot;properties&quot;:{&quot;noteIndex&quot;:0},&quot;isEdited&quot;:false,&quot;manualOverride&quot;:{&quot;isManuallyOverridden&quot;:false,&quot;citeprocText&quot;:&quot;(Meidianto, 2018)&quot;,&quot;manualOverrideText&quot;:&quot;&quot;},&quot;citationTag&quot;:&quot;MENDELEY_CITATION_v3_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&quot;,&quot;citationItems&quot;:[{&quot;id&quot;:&quot;fcf36545-72ba-3b5c-8daf-ea6342663c0f&quot;,&quot;itemData&quot;:{&quot;type&quot;:&quot;thesis&quot;,&quot;id&quot;:&quot;fcf36545-72ba-3b5c-8daf-ea6342663c0f&quot;,&quot;title&quot;:&quot;PERLINDUNGAN HUKUM TERHADAP KORBAN TINDAK PIDANA PENIPUAN ARISAN ONLINE&quot;,&quot;author&quot;:[{&quot;family&quot;:&quot;Meidianto&quot;,&quot;given&quot;:&quot;Herdi&quot;,&quot;parse-names&quot;:false,&quot;dropping-particle&quot;:&quot;&quot;,&quot;non-dropping-particle&quot;:&quot;&quot;}],&quot;issued&quot;:{&quot;date-parts&quot;:[[2018]]},&quot;publisher-place&quot;:&quot;Palembang&quot;,&quot;publisher&quot;:&quot;Universitas Sriwijaya&quot;,&quot;container-title-short&quot;:&quot;&quot;},&quot;isTemporary&quot;:false}]},{&quot;citationID&quot;:&quot;MENDELEY_CITATION_e63cd629-0c18-4fd1-afb6-76968714fda2&quot;,&quot;properties&quot;:{&quot;noteIndex&quot;:0},&quot;isEdited&quot;:false,&quot;manualOverride&quot;:{&quot;isManuallyOverridden&quot;:false,&quot;citeprocText&quot;:&quot;(D. Wahyudi et al., 2022)&quot;,&quot;manualOverrideText&quot;:&quot;&quot;},&quot;citationTag&quot;:&quot;MENDELEY_CITATION_v3_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&quot;,&quot;citationItems&quot;:[{&quot;id&quot;:&quot;758280e7-d986-369b-b44f-f141b49d2586&quot;,&quot;itemData&quot;:{&quot;type&quot;:&quot;article-journal&quot;,&quot;id&quot;:&quot;758280e7-d986-369b-b44f-f141b49d2586&quot;,&quot;title&quot;:&quot;AKIBAT HUKUM BAGI PELAKU TINDAK PIDANA PENIPUAN ONLINE MELALUI MODUS ARISAN ONLINE DI MEDIA SOSIAL ELEKTRONIK&quot;,&quot;author&quot;:[{&quot;family&quot;:&quot;Wahyudi&quot;,&quot;given&quot;:&quot;Dimas&quot;,&quot;parse-names&quot;:false,&quot;dropping-particle&quot;:&quot;&quot;,&quot;non-dropping-particle&quot;:&quot;&quot;},{&quot;family&quot;:&quot;Sugiarto Samosir&quot;,&quot;given&quot;:&quot;Herixson&quot;,&quot;parse-names&quot;:false,&quot;dropping-particle&quot;:&quot;&quot;,&quot;non-dropping-particle&quot;:&quot;&quot;},{&quot;family&quot;:&quot;Sintha Devi&quot;,&quot;given&quot;:&quot;Ria&quot;,&quot;parse-names&quot;:false,&quot;dropping-particle&quot;:&quot;&quot;,&quot;non-dropping-particle&quot;:&quot;&quot;}],&quot;container-title&quot;:&quot;Jurnal Rectum&quot;,&quot;issued&quot;:{&quot;date-parts&quot;:[[2022]]},&quot;abstract&quot;:&quot;The title of this thesis is: \&quot;Legal Consequences for Perpetrators of Online Fraud Crimes Through The Online Arisan Mode On Electronic Social Media\&quot;. This study aims to: 1) To find out the factors causing fraud through the online arisan mode on social media; 2) To find out the rule of law that regulates crime online fraud; 3) To find out the efforts of law enforcement agencies in handling fraud cases through online gatherings on social media. The results of this study are: First, strict law enforcement by the police in carrying out their duties, especially in investigation management in order to arrest every perpetrator criminal acts of fraud under the guise of online gatherings as confirmed by the applicable legal rules. According to the fraud law in High unemployment and poverty due to lack of jobs; 2) Want to earn money easily (committing fraud); 3) Difficulty in tracing perpetrators; 4) Easy removal of traces; 5) Lack of costs required to commit fraud; 6) Lack of insight of users of electronic communication devices. Third, the Ministry of Communication and Information continues to provide education on the importance of digital literacy so that community activities in the digital space can take place properly. So that the positive benefits of the internet can be optimized to make people more intelligent and productive. In addition, the police through the cyber police will continue to conduct cyber patrols and enforce criminal laws for online fraud fraud. The suggestions in this study are: First, a special rule must be formed in the new Criminal Code Bill that focuses on sanctioning online fraud so that the rule becomes the basis for law enforcement for the criminal act of online fraud. Second, To prevent the occurrence of criminal acts of onlinearisan fraud, the Ministry of Communication and Information and the cyber police must conduct socialization and counseling to the public so that the public understands about potential scams from online gatherings. Third, The security and comfort of the public in carrying out online activities today is very dependent on the commitment of the Ministry of Communication and Information and the cyber police to provide the internet safe positive.&quot;,&quot;issue&quot;:&quot;2&quot;,&quot;volume&quot;:&quot;4&quot;,&quot;container-title-short&quot;:&quot;&quot;},&quot;isTemporary&quot;:false}]},{&quot;citationID&quot;:&quot;MENDELEY_CITATION_1bc8211e-c9d2-465f-b6a7-086b8d00ea43&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MWJjODIxMWUtYzlkMi00NjVmLWI2YTctMDg2YjhkMDBlYTQz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bba66145-9315-4eac-9573-1ad89658140e&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YmJhNjYxNDUtOTMxNS00ZWFjLTk1NzMtMWFkODk2NTgxNDBl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d7aba855-4a0e-4bc7-b0ac-e1b14789cc98&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ZDdhYmE4NTUtNGEwZS00YmM3LWIwYWMtZTFiMTQ3ODljYzk4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6910304f-bdcf-4407-9888-217b4914d9e7&quot;,&quot;properties&quot;:{&quot;noteIndex&quot;:0},&quot;isEdited&quot;:false,&quot;manualOverride&quot;:{&quot;isManuallyOverridden&quot;:false,&quot;citeprocText&quot;:&quot;(Irawan, 2020)&quot;,&quot;manualOverrideText&quot;:&quot;&quot;},&quot;citationTag&quot;:&quot;MENDELEY_CITATION_v3_eyJjaXRhdGlvbklEIjoiTUVOREVMRVlfQ0lUQVRJT05fNjkxMDMwNGYtYmRjZi00NDA3LTk4ODgtMjE3YjQ5MTRkOWU3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ca5da170-7fe4-4f09-aea1-f9669fbc98a1&quot;,&quot;properties&quot;:{&quot;noteIndex&quot;:0},&quot;isEdited&quot;:false,&quot;manualOverride&quot;:{&quot;isManuallyOverridden&quot;:false,&quot;citeprocText&quot;:&quot;(E. Wahyudi &amp;#38; Bethari, 2021)&quot;,&quot;manualOverrideText&quot;:&quot;&quot;},&quot;citationTag&quot;:&quot;MENDELEY_CITATION_v3_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&quot;,&quot;citationItems&quot;:[{&quot;id&quot;:&quot;50d8ea7e-2c81-3e40-8476-6f2964f9f0ac&quot;,&quot;itemData&quot;:{&quot;type&quot;:&quot;article-journal&quot;,&quot;id&quot;:&quot;50d8ea7e-2c81-3e40-8476-6f2964f9f0ac&quot;,&quot;title&quot;:&quot;PENEGAKAN HUKUM BAGI PELAKU TINDAK PIDANA PENIPUAN ARISAN ONLINE&quot;,&quot;author&quot;:[{&quot;family&quot;:&quot;Wahyudi&quot;,&quot;given&quot;:&quot;Eko&quot;,&quot;parse-names&quot;:false,&quot;dropping-particle&quot;:&quot;&quot;,&quot;non-dropping-particle&quot;:&quot;&quot;},{&quot;family&quot;:&quot;Bethari&quot;,&quot;given&quot;:&quot;Brigita Shinta&quot;,&quot;parse-names&quot;:false,&quot;dropping-particle&quot;:&quot;&quot;,&quot;non-dropping-particle&quot;:&quot;&quot;}],&quot;container-title&quot;:&quot;Supremasi Jurnal Hukum&quot;,&quot;ISSN&quot;:&quot;2621-7007&quot;,&quot;issued&quot;:{&quot;date-parts&quot;:[[2021]]},&quot;issue&quot;:&quot;1&quot;,&quot;volume&quot;:&quot;4&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GmdYmshZCgupBGo2BorgbQyn2A==">CgMxLjA4AHIhMUN1TFVkelViOTNJU2Zxa1d5ZDlHMDBMdWJ1czdHakdk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8EF052-DC2D-447D-9375-3644A9A8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3401</Words>
  <Characters>22386</Characters>
  <Application>Microsoft Office Word</Application>
  <DocSecurity>0</DocSecurity>
  <Lines>361</Lines>
  <Paragraphs>79</Paragraphs>
  <ScaleCrop>false</ScaleCrop>
  <Company/>
  <LinksUpToDate>false</LinksUpToDate>
  <CharactersWithSpaces>25708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3</cp:revision>
  <dcterms:created xsi:type="dcterms:W3CDTF">2023-10-01T21:45:00Z</dcterms:created>
  <dcterms:modified xsi:type="dcterms:W3CDTF">2023-10-01T21:54:00Z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c0e2e5d73d5cdb094b5133b24223045fb5eae6d7581e69055e6f4e1f868df271</vt:lpwstr>
  </property>
</Properties>
</file>